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cs="黑体"/>
          <w:sz w:val="32"/>
          <w:szCs w:val="32"/>
        </w:rPr>
      </w:pPr>
      <w:r>
        <w:rPr>
          <w:rFonts w:hint="eastAsia" w:ascii="黑体" w:hAnsi="黑体" w:cs="黑体"/>
          <w:sz w:val="32"/>
          <w:szCs w:val="32"/>
        </w:rPr>
        <w:t>附件2</w:t>
      </w:r>
    </w:p>
    <w:p>
      <w:pPr>
        <w:spacing w:line="600" w:lineRule="exact"/>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深圳市市场监督管理局深汕特别合作区</w:t>
      </w:r>
    </w:p>
    <w:p>
      <w:pPr>
        <w:spacing w:line="600" w:lineRule="exact"/>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塑料制品产品质量监督抽查实施规范</w:t>
      </w:r>
    </w:p>
    <w:p>
      <w:pPr>
        <w:spacing w:line="600" w:lineRule="exact"/>
        <w:jc w:val="center"/>
        <w:rPr>
          <w:rFonts w:ascii="黑体" w:hAnsi="黑体" w:eastAsia="黑体"/>
          <w:sz w:val="28"/>
        </w:rPr>
      </w:pPr>
      <w:r>
        <w:rPr>
          <w:rFonts w:hint="eastAsia" w:ascii="黑体" w:hAnsi="黑体" w:eastAsia="黑体"/>
          <w:sz w:val="28"/>
        </w:rPr>
        <w:t>编号：CCGF-SZ-200-2020</w:t>
      </w:r>
    </w:p>
    <w:p>
      <w:pPr>
        <w:pStyle w:val="3"/>
      </w:pPr>
      <w:r>
        <w:rPr>
          <w:rFonts w:hint="eastAsia"/>
        </w:rPr>
        <w:t>1</w:t>
      </w:r>
      <w:r>
        <w:t xml:space="preserve"> </w:t>
      </w:r>
      <w:r>
        <w:rPr>
          <w:rFonts w:hint="eastAsia"/>
        </w:rPr>
        <w:t>适用范围</w:t>
      </w:r>
    </w:p>
    <w:p>
      <w:pPr>
        <w:snapToGrid w:val="0"/>
        <w:spacing w:line="540" w:lineRule="exact"/>
        <w:ind w:firstLine="548" w:firstLineChars="196"/>
        <w:rPr>
          <w:rFonts w:ascii="仿宋_GB2312" w:hAnsi="宋体" w:eastAsia="仿宋_GB2312"/>
          <w:sz w:val="28"/>
          <w:szCs w:val="28"/>
        </w:rPr>
      </w:pPr>
      <w:r>
        <w:rPr>
          <w:rFonts w:hint="eastAsia" w:ascii="仿宋_GB2312" w:hAnsi="宋体" w:eastAsia="仿宋_GB2312"/>
          <w:sz w:val="28"/>
          <w:szCs w:val="28"/>
        </w:rPr>
        <w:t>本规范适用于深圳市深汕特别合作区生产及流通领域塑料制品产品质量监督抽查。监督抽查产品适用于：室内塑料垃圾桶。</w:t>
      </w:r>
    </w:p>
    <w:p>
      <w:pPr>
        <w:snapToGrid w:val="0"/>
        <w:spacing w:line="540" w:lineRule="exact"/>
        <w:ind w:firstLine="548" w:firstLineChars="196"/>
        <w:rPr>
          <w:rFonts w:ascii="仿宋_GB2312" w:hAnsi="宋体" w:eastAsia="仿宋_GB2312"/>
          <w:sz w:val="28"/>
          <w:szCs w:val="28"/>
        </w:rPr>
      </w:pPr>
      <w:r>
        <w:rPr>
          <w:rFonts w:hint="eastAsia" w:ascii="仿宋_GB2312" w:hAnsi="宋体" w:eastAsia="仿宋_GB2312"/>
          <w:sz w:val="28"/>
          <w:szCs w:val="28"/>
        </w:rPr>
        <w:t>本规范内容包括适用范围、产品种类、术语和定义、检验依据、抽样、检验要求，判定原则及异议处理复检。</w:t>
      </w:r>
    </w:p>
    <w:p>
      <w:pPr>
        <w:pStyle w:val="3"/>
      </w:pPr>
      <w:r>
        <w:rPr>
          <w:rFonts w:hint="eastAsia"/>
        </w:rPr>
        <w:t>2</w:t>
      </w:r>
      <w:r>
        <w:t xml:space="preserve"> </w:t>
      </w:r>
      <w:r>
        <w:rPr>
          <w:rFonts w:hint="eastAsia"/>
        </w:rPr>
        <w:t>产品种类</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可抽取的产品种类见表1。</w:t>
      </w:r>
    </w:p>
    <w:p>
      <w:pPr>
        <w:snapToGrid w:val="0"/>
        <w:spacing w:line="540" w:lineRule="exact"/>
        <w:jc w:val="center"/>
        <w:rPr>
          <w:rFonts w:ascii="黑体" w:hAnsi="黑体" w:eastAsia="黑体"/>
          <w:sz w:val="28"/>
          <w:szCs w:val="28"/>
        </w:rPr>
      </w:pPr>
      <w:r>
        <w:rPr>
          <w:rFonts w:hint="eastAsia" w:ascii="黑体" w:hAnsi="黑体" w:eastAsia="黑体"/>
          <w:sz w:val="28"/>
          <w:szCs w:val="28"/>
        </w:rPr>
        <w:t>表1 产品种类</w:t>
      </w:r>
    </w:p>
    <w:tbl>
      <w:tblPr>
        <w:tblStyle w:val="6"/>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5" w:type="dxa"/>
            <w:noWrap w:val="0"/>
            <w:vAlign w:val="center"/>
          </w:tcPr>
          <w:p>
            <w:pPr>
              <w:snapToGrid w:val="0"/>
              <w:jc w:val="center"/>
              <w:rPr>
                <w:rFonts w:ascii="黑体" w:hAnsi="黑体" w:eastAsia="黑体"/>
                <w:sz w:val="24"/>
              </w:rPr>
            </w:pPr>
            <w:r>
              <w:rPr>
                <w:rFonts w:hint="eastAsia" w:ascii="黑体" w:hAnsi="黑体" w:eastAsia="黑体"/>
                <w:sz w:val="24"/>
              </w:rPr>
              <w:t>产品种类</w:t>
            </w:r>
          </w:p>
        </w:tc>
        <w:tc>
          <w:tcPr>
            <w:tcW w:w="6305" w:type="dxa"/>
            <w:noWrap w:val="0"/>
            <w:vAlign w:val="center"/>
          </w:tcPr>
          <w:p>
            <w:pPr>
              <w:snapToGrid w:val="0"/>
              <w:jc w:val="center"/>
              <w:rPr>
                <w:rFonts w:ascii="黑体" w:hAnsi="黑体" w:eastAsia="黑体"/>
                <w:sz w:val="24"/>
              </w:rPr>
            </w:pPr>
            <w:r>
              <w:rPr>
                <w:rFonts w:hint="eastAsia" w:ascii="黑体" w:hAnsi="黑体" w:eastAsia="黑体"/>
                <w:sz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autoSpaceDE w:val="0"/>
              <w:autoSpaceDN w:val="0"/>
              <w:adjustRightInd w:val="0"/>
              <w:spacing w:line="360" w:lineRule="exact"/>
              <w:jc w:val="center"/>
              <w:rPr>
                <w:rFonts w:ascii="仿宋_GB2312" w:hAnsi="仿宋" w:eastAsia="仿宋_GB2312" w:cs="宋体"/>
                <w:bCs/>
                <w:sz w:val="24"/>
              </w:rPr>
            </w:pPr>
            <w:r>
              <w:rPr>
                <w:rFonts w:hint="eastAsia" w:ascii="仿宋_GB2312" w:hAnsi="仿宋" w:eastAsia="仿宋_GB2312" w:cs="宋体"/>
                <w:bCs/>
                <w:sz w:val="24"/>
              </w:rPr>
              <w:t>室内塑料垃圾桶</w:t>
            </w:r>
          </w:p>
        </w:tc>
        <w:tc>
          <w:tcPr>
            <w:tcW w:w="6305" w:type="dxa"/>
            <w:noWrap w:val="0"/>
            <w:vAlign w:val="center"/>
          </w:tcPr>
          <w:p>
            <w:pPr>
              <w:autoSpaceDE w:val="0"/>
              <w:autoSpaceDN w:val="0"/>
              <w:adjustRightInd w:val="0"/>
              <w:spacing w:line="360" w:lineRule="exact"/>
              <w:jc w:val="left"/>
              <w:rPr>
                <w:rFonts w:ascii="仿宋_GB2312" w:hAnsi="仿宋" w:eastAsia="仿宋_GB2312" w:cs="宋体"/>
                <w:bCs/>
                <w:sz w:val="24"/>
              </w:rPr>
            </w:pPr>
            <w:r>
              <w:rPr>
                <w:rFonts w:hint="eastAsia" w:ascii="仿宋_GB2312" w:hAnsi="仿宋" w:eastAsia="仿宋_GB2312" w:cs="宋体"/>
                <w:bCs/>
                <w:sz w:val="24"/>
              </w:rPr>
              <w:t>无盖塑料垃圾桶、脚踏翻盖塑料垃圾桶、手动翻盖（包括摆动盖、揭盖等）塑料垃圾桶、有内桶塑料垃圾桶、无内桶塑料垃圾桶。</w:t>
            </w:r>
          </w:p>
        </w:tc>
      </w:tr>
    </w:tbl>
    <w:p>
      <w:pPr>
        <w:snapToGrid w:val="0"/>
        <w:spacing w:line="540" w:lineRule="exact"/>
        <w:ind w:firstLine="560" w:firstLineChars="200"/>
        <w:rPr>
          <w:rFonts w:ascii="黑体" w:hAnsi="黑体" w:eastAsia="黑体"/>
          <w:sz w:val="28"/>
          <w:szCs w:val="28"/>
        </w:rPr>
      </w:pPr>
      <w:r>
        <w:rPr>
          <w:rFonts w:hint="eastAsia" w:ascii="仿宋_GB2312" w:hAnsi="宋体" w:eastAsia="仿宋_GB2312"/>
          <w:sz w:val="28"/>
          <w:szCs w:val="28"/>
        </w:rPr>
        <w:t>不可抽取的产品种类见表2。</w:t>
      </w:r>
    </w:p>
    <w:p>
      <w:pPr>
        <w:snapToGrid w:val="0"/>
        <w:spacing w:line="540" w:lineRule="exact"/>
        <w:jc w:val="center"/>
        <w:rPr>
          <w:rFonts w:ascii="黑体" w:hAnsi="黑体" w:eastAsia="黑体"/>
          <w:sz w:val="28"/>
          <w:szCs w:val="28"/>
        </w:rPr>
      </w:pPr>
      <w:r>
        <w:rPr>
          <w:rFonts w:hint="eastAsia" w:ascii="黑体" w:hAnsi="黑体" w:eastAsia="黑体"/>
          <w:sz w:val="28"/>
          <w:szCs w:val="28"/>
        </w:rPr>
        <w:t>表2  不可抽查的产品种类</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noWrap w:val="0"/>
            <w:vAlign w:val="center"/>
          </w:tcPr>
          <w:p>
            <w:pPr>
              <w:jc w:val="center"/>
              <w:rPr>
                <w:rFonts w:ascii="黑体" w:hAnsi="黑体" w:eastAsia="黑体"/>
                <w:sz w:val="24"/>
              </w:rPr>
            </w:pPr>
            <w:r>
              <w:rPr>
                <w:rFonts w:hint="eastAsia" w:ascii="黑体" w:hAnsi="黑体" w:eastAsia="黑体"/>
                <w:sz w:val="24"/>
              </w:rPr>
              <w:t>不可抽取的产品</w:t>
            </w:r>
          </w:p>
        </w:tc>
        <w:tc>
          <w:tcPr>
            <w:tcW w:w="6237" w:type="dxa"/>
            <w:noWrap w:val="0"/>
            <w:vAlign w:val="center"/>
          </w:tcPr>
          <w:p>
            <w:pPr>
              <w:jc w:val="center"/>
              <w:rPr>
                <w:rFonts w:ascii="黑体" w:hAnsi="黑体" w:eastAsia="黑体"/>
                <w:sz w:val="24"/>
              </w:rPr>
            </w:pPr>
            <w:r>
              <w:rPr>
                <w:rFonts w:hint="eastAsia" w:ascii="黑体" w:hAnsi="黑体" w:eastAsia="黑体"/>
                <w:sz w:val="24"/>
              </w:rPr>
              <w:t>产品图片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noWrap w:val="0"/>
            <w:vAlign w:val="center"/>
          </w:tcPr>
          <w:p>
            <w:pPr>
              <w:rPr>
                <w:rFonts w:ascii="仿宋_GB2312" w:hAnsi="黑体" w:eastAsia="仿宋_GB2312"/>
                <w:bCs/>
                <w:kern w:val="0"/>
                <w:sz w:val="24"/>
              </w:rPr>
            </w:pPr>
            <w:r>
              <w:rPr>
                <w:rFonts w:hint="eastAsia" w:hAnsi="黑体"/>
                <w:sz w:val="24"/>
              </w:rPr>
              <w:t>镂空垃圾篓（桶）</w:t>
            </w:r>
          </w:p>
        </w:tc>
        <w:tc>
          <w:tcPr>
            <w:tcW w:w="6237" w:type="dxa"/>
            <w:noWrap w:val="0"/>
            <w:vAlign w:val="center"/>
          </w:tcPr>
          <w:p>
            <w:pPr>
              <w:jc w:val="center"/>
            </w:pPr>
            <w:r>
              <w:drawing>
                <wp:inline distT="0" distB="0" distL="114300" distR="114300">
                  <wp:extent cx="1414145" cy="1414145"/>
                  <wp:effectExtent l="0" t="0" r="1460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414145" cy="14141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0" w:hRule="atLeast"/>
        </w:trPr>
        <w:tc>
          <w:tcPr>
            <w:tcW w:w="2518" w:type="dxa"/>
            <w:noWrap w:val="0"/>
            <w:vAlign w:val="center"/>
          </w:tcPr>
          <w:p>
            <w:pPr>
              <w:rPr>
                <w:rFonts w:ascii="仿宋_GB2312" w:hAnsi="黑体" w:eastAsia="仿宋_GB2312"/>
                <w:bCs/>
                <w:kern w:val="0"/>
                <w:sz w:val="24"/>
              </w:rPr>
            </w:pPr>
            <w:r>
              <w:rPr>
                <w:rFonts w:hint="eastAsia" w:hAnsi="黑体"/>
                <w:sz w:val="24"/>
              </w:rPr>
              <w:t>市政垃圾桶</w:t>
            </w:r>
          </w:p>
        </w:tc>
        <w:tc>
          <w:tcPr>
            <w:tcW w:w="6237" w:type="dxa"/>
            <w:noWrap w:val="0"/>
            <w:vAlign w:val="center"/>
          </w:tcPr>
          <w:p>
            <w:r>
              <w:drawing>
                <wp:inline distT="0" distB="0" distL="114300" distR="114300">
                  <wp:extent cx="1860550" cy="1743710"/>
                  <wp:effectExtent l="0" t="0" r="635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860550" cy="1743710"/>
                          </a:xfrm>
                          <a:prstGeom prst="rect">
                            <a:avLst/>
                          </a:prstGeom>
                          <a:noFill/>
                          <a:ln>
                            <a:noFill/>
                          </a:ln>
                        </pic:spPr>
                      </pic:pic>
                    </a:graphicData>
                  </a:graphic>
                </wp:inline>
              </w:drawing>
            </w:r>
            <w:r>
              <w:rPr>
                <w:rFonts w:hint="eastAsia"/>
              </w:rPr>
              <w:t xml:space="preserve"> </w:t>
            </w:r>
            <w:r>
              <w:drawing>
                <wp:inline distT="0" distB="0" distL="114300" distR="114300">
                  <wp:extent cx="1860550" cy="1690370"/>
                  <wp:effectExtent l="0" t="0" r="635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860550" cy="1690370"/>
                          </a:xfrm>
                          <a:prstGeom prst="rect">
                            <a:avLst/>
                          </a:prstGeom>
                          <a:noFill/>
                          <a:ln>
                            <a:noFill/>
                          </a:ln>
                        </pic:spPr>
                      </pic:pic>
                    </a:graphicData>
                  </a:graphic>
                </wp:inline>
              </w:drawing>
            </w:r>
          </w:p>
        </w:tc>
      </w:tr>
    </w:tbl>
    <w:p>
      <w:pPr>
        <w:pStyle w:val="3"/>
      </w:pPr>
      <w:r>
        <w:t xml:space="preserve">3 </w:t>
      </w:r>
      <w:r>
        <w:rPr>
          <w:rFonts w:hint="eastAsia"/>
        </w:rPr>
        <w:t>术语和定义</w:t>
      </w:r>
    </w:p>
    <w:p>
      <w:pPr>
        <w:snapToGrid w:val="0"/>
        <w:spacing w:line="540" w:lineRule="exact"/>
        <w:ind w:firstLine="570"/>
        <w:rPr>
          <w:rFonts w:ascii="仿宋_GB2312" w:hAnsi="宋体" w:eastAsia="仿宋_GB2312"/>
          <w:sz w:val="28"/>
          <w:szCs w:val="28"/>
        </w:rPr>
      </w:pPr>
      <w:r>
        <w:rPr>
          <w:rFonts w:hint="eastAsia" w:ascii="仿宋_GB2312" w:hAnsi="宋体" w:eastAsia="仿宋_GB2312"/>
          <w:sz w:val="28"/>
          <w:szCs w:val="28"/>
        </w:rPr>
        <w:t>术语和定义见表3。</w:t>
      </w:r>
    </w:p>
    <w:p>
      <w:pPr>
        <w:snapToGrid w:val="0"/>
        <w:spacing w:line="540" w:lineRule="exact"/>
        <w:jc w:val="center"/>
        <w:rPr>
          <w:rFonts w:ascii="黑体" w:hAnsi="黑体" w:eastAsia="黑体"/>
          <w:sz w:val="28"/>
          <w:szCs w:val="28"/>
        </w:rPr>
      </w:pPr>
      <w:r>
        <w:rPr>
          <w:rFonts w:hint="eastAsia" w:ascii="黑体" w:hAnsi="黑体" w:eastAsia="黑体"/>
          <w:sz w:val="28"/>
          <w:szCs w:val="28"/>
        </w:rPr>
        <w:t>表3  术语和定义</w:t>
      </w:r>
    </w:p>
    <w:tbl>
      <w:tblPr>
        <w:tblStyle w:val="6"/>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6"/>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586" w:type="dxa"/>
            <w:noWrap w:val="0"/>
            <w:vAlign w:val="center"/>
          </w:tcPr>
          <w:p>
            <w:pPr>
              <w:snapToGrid w:val="0"/>
              <w:spacing w:before="100" w:beforeAutospacing="1" w:after="100" w:afterAutospacing="1"/>
              <w:jc w:val="center"/>
              <w:rPr>
                <w:rFonts w:ascii="黑体" w:hAnsi="黑体" w:eastAsia="黑体"/>
                <w:kern w:val="0"/>
                <w:sz w:val="24"/>
                <w:szCs w:val="28"/>
              </w:rPr>
            </w:pPr>
            <w:r>
              <w:rPr>
                <w:rFonts w:hint="eastAsia" w:ascii="黑体" w:hAnsi="黑体" w:eastAsia="黑体"/>
                <w:kern w:val="0"/>
                <w:sz w:val="24"/>
                <w:szCs w:val="28"/>
              </w:rPr>
              <w:t>产品种类</w:t>
            </w:r>
          </w:p>
        </w:tc>
        <w:tc>
          <w:tcPr>
            <w:tcW w:w="4588" w:type="dxa"/>
            <w:noWrap w:val="0"/>
            <w:vAlign w:val="center"/>
          </w:tcPr>
          <w:p>
            <w:pPr>
              <w:snapToGrid w:val="0"/>
              <w:spacing w:before="100" w:beforeAutospacing="1" w:after="100" w:afterAutospacing="1"/>
              <w:jc w:val="center"/>
              <w:rPr>
                <w:rFonts w:ascii="黑体" w:hAnsi="黑体" w:eastAsia="黑体"/>
                <w:kern w:val="0"/>
                <w:sz w:val="24"/>
                <w:szCs w:val="28"/>
              </w:rPr>
            </w:pPr>
            <w:r>
              <w:rPr>
                <w:rFonts w:hint="eastAsia" w:ascii="黑体" w:hAnsi="黑体" w:eastAsia="黑体"/>
                <w:kern w:val="0"/>
                <w:sz w:val="24"/>
                <w:szCs w:val="28"/>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586" w:type="dxa"/>
            <w:noWrap w:val="0"/>
            <w:vAlign w:val="center"/>
          </w:tcPr>
          <w:p>
            <w:pPr>
              <w:autoSpaceDE w:val="0"/>
              <w:autoSpaceDN w:val="0"/>
              <w:adjustRightInd w:val="0"/>
              <w:spacing w:line="360" w:lineRule="exact"/>
              <w:jc w:val="center"/>
              <w:rPr>
                <w:rFonts w:ascii="仿宋_GB2312" w:hAnsi="仿宋" w:eastAsia="仿宋_GB2312" w:cs="宋体"/>
                <w:bCs/>
                <w:sz w:val="24"/>
              </w:rPr>
            </w:pPr>
            <w:r>
              <w:rPr>
                <w:rFonts w:hint="eastAsia" w:ascii="仿宋_GB2312" w:hAnsi="仿宋" w:eastAsia="仿宋_GB2312" w:cs="宋体"/>
                <w:bCs/>
                <w:sz w:val="24"/>
              </w:rPr>
              <w:t>室内塑料垃圾桶</w:t>
            </w:r>
          </w:p>
        </w:tc>
        <w:tc>
          <w:tcPr>
            <w:tcW w:w="4588" w:type="dxa"/>
            <w:noWrap w:val="0"/>
            <w:vAlign w:val="center"/>
          </w:tcPr>
          <w:p>
            <w:pPr>
              <w:snapToGrid w:val="0"/>
              <w:spacing w:before="100" w:beforeAutospacing="1" w:after="100" w:afterAutospacing="1"/>
              <w:rPr>
                <w:rFonts w:ascii="仿宋_GB2312" w:hAnsi="黑体" w:eastAsia="仿宋_GB2312"/>
                <w:kern w:val="0"/>
                <w:sz w:val="24"/>
                <w:szCs w:val="28"/>
              </w:rPr>
            </w:pPr>
            <w:r>
              <w:rPr>
                <w:rFonts w:hint="eastAsia" w:ascii="仿宋_GB2312" w:hAnsi="黑体" w:eastAsia="仿宋_GB2312"/>
                <w:kern w:val="0"/>
                <w:sz w:val="24"/>
                <w:szCs w:val="28"/>
              </w:rPr>
              <w:t>能收纳和存放一定量生活垃圾的用于室内的不漏水塑料容器。</w:t>
            </w:r>
          </w:p>
        </w:tc>
      </w:tr>
    </w:tbl>
    <w:p>
      <w:pPr>
        <w:pStyle w:val="3"/>
      </w:pPr>
      <w:r>
        <w:rPr>
          <w:rFonts w:hint="eastAsia"/>
        </w:rPr>
        <w:t>4</w:t>
      </w:r>
      <w:r>
        <w:t xml:space="preserve"> </w:t>
      </w:r>
      <w:r>
        <w:rPr>
          <w:rFonts w:hint="eastAsia"/>
        </w:rPr>
        <w:t>检验依据</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检验依据见表4。</w:t>
      </w:r>
    </w:p>
    <w:p>
      <w:pPr>
        <w:snapToGrid w:val="0"/>
        <w:spacing w:line="540" w:lineRule="exact"/>
        <w:jc w:val="center"/>
        <w:rPr>
          <w:rFonts w:ascii="黑体" w:hAnsi="黑体" w:eastAsia="黑体"/>
          <w:sz w:val="28"/>
          <w:szCs w:val="28"/>
        </w:rPr>
      </w:pPr>
      <w:r>
        <w:rPr>
          <w:rFonts w:hint="eastAsia" w:ascii="黑体" w:hAnsi="黑体" w:eastAsia="黑体"/>
          <w:sz w:val="28"/>
          <w:szCs w:val="28"/>
        </w:rPr>
        <w:t>表4  检验依据</w:t>
      </w:r>
    </w:p>
    <w:tbl>
      <w:tblPr>
        <w:tblStyle w:val="6"/>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3969"/>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334" w:type="dxa"/>
            <w:noWrap w:val="0"/>
            <w:vAlign w:val="center"/>
          </w:tcPr>
          <w:p>
            <w:pPr>
              <w:snapToGrid w:val="0"/>
              <w:jc w:val="center"/>
              <w:rPr>
                <w:rFonts w:ascii="黑体" w:hAnsi="黑体" w:eastAsia="黑体"/>
                <w:sz w:val="24"/>
              </w:rPr>
            </w:pPr>
            <w:r>
              <w:rPr>
                <w:rFonts w:hint="eastAsia" w:ascii="黑体" w:hAnsi="黑体" w:eastAsia="黑体"/>
                <w:sz w:val="24"/>
              </w:rPr>
              <w:t>标准号</w:t>
            </w:r>
          </w:p>
        </w:tc>
        <w:tc>
          <w:tcPr>
            <w:tcW w:w="3969" w:type="dxa"/>
            <w:noWrap w:val="0"/>
            <w:vAlign w:val="center"/>
          </w:tcPr>
          <w:p>
            <w:pPr>
              <w:snapToGrid w:val="0"/>
              <w:jc w:val="center"/>
              <w:rPr>
                <w:rFonts w:ascii="黑体" w:hAnsi="黑体" w:eastAsia="黑体"/>
                <w:sz w:val="24"/>
              </w:rPr>
            </w:pPr>
            <w:r>
              <w:rPr>
                <w:rFonts w:hint="eastAsia" w:ascii="黑体" w:hAnsi="黑体" w:eastAsia="黑体"/>
                <w:sz w:val="24"/>
              </w:rPr>
              <w:t>标准名称</w:t>
            </w:r>
          </w:p>
        </w:tc>
        <w:tc>
          <w:tcPr>
            <w:tcW w:w="2786" w:type="dxa"/>
            <w:noWrap w:val="0"/>
            <w:vAlign w:val="center"/>
          </w:tcPr>
          <w:p>
            <w:pPr>
              <w:snapToGrid w:val="0"/>
              <w:jc w:val="center"/>
              <w:rPr>
                <w:rFonts w:ascii="黑体" w:hAnsi="黑体" w:eastAsia="黑体"/>
                <w:sz w:val="24"/>
              </w:rPr>
            </w:pPr>
            <w:r>
              <w:rPr>
                <w:rFonts w:hint="eastAsia" w:ascii="黑体" w:hAnsi="黑体" w:eastAsia="黑体"/>
                <w:sz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34" w:type="dxa"/>
            <w:noWrap w:val="0"/>
            <w:vAlign w:val="center"/>
          </w:tcPr>
          <w:p>
            <w:pPr>
              <w:spacing w:line="360" w:lineRule="exact"/>
              <w:jc w:val="center"/>
              <w:rPr>
                <w:rFonts w:ascii="仿宋_GB2312" w:hAnsi="仿宋" w:eastAsia="仿宋_GB2312" w:cs="宋体"/>
                <w:sz w:val="24"/>
              </w:rPr>
            </w:pPr>
            <w:r>
              <w:rPr>
                <w:rFonts w:ascii="仿宋_GB2312" w:hAnsi="仿宋" w:eastAsia="仿宋_GB2312" w:cs="宋体"/>
                <w:sz w:val="24"/>
              </w:rPr>
              <w:t>GB/T28797-2012</w:t>
            </w:r>
          </w:p>
        </w:tc>
        <w:tc>
          <w:tcPr>
            <w:tcW w:w="3969" w:type="dxa"/>
            <w:noWrap w:val="0"/>
            <w:vAlign w:val="center"/>
          </w:tcPr>
          <w:p>
            <w:pPr>
              <w:autoSpaceDE w:val="0"/>
              <w:autoSpaceDN w:val="0"/>
              <w:adjustRightInd w:val="0"/>
              <w:spacing w:line="360" w:lineRule="exact"/>
              <w:jc w:val="center"/>
              <w:rPr>
                <w:rFonts w:ascii="仿宋_GB2312" w:hAnsi="宋体" w:eastAsia="仿宋_GB2312"/>
                <w:sz w:val="24"/>
                <w:szCs w:val="21"/>
              </w:rPr>
            </w:pPr>
            <w:r>
              <w:rPr>
                <w:rFonts w:hint="eastAsia" w:ascii="仿宋_GB2312" w:hAnsi="宋体" w:eastAsia="仿宋_GB2312"/>
                <w:sz w:val="24"/>
                <w:szCs w:val="21"/>
              </w:rPr>
              <w:t>《室内塑料垃圾桶》</w:t>
            </w:r>
          </w:p>
        </w:tc>
        <w:tc>
          <w:tcPr>
            <w:tcW w:w="2786" w:type="dxa"/>
            <w:noWrap w:val="0"/>
            <w:vAlign w:val="center"/>
          </w:tcPr>
          <w:p>
            <w:pPr>
              <w:snapToGrid w:val="0"/>
              <w:spacing w:line="360" w:lineRule="exact"/>
              <w:jc w:val="center"/>
              <w:rPr>
                <w:rFonts w:ascii="宋体"/>
                <w:sz w:val="24"/>
                <w:szCs w:val="21"/>
              </w:rPr>
            </w:pPr>
            <w:r>
              <w:rPr>
                <w:rFonts w:hint="eastAsia" w:ascii="宋体"/>
                <w:sz w:val="24"/>
                <w:szCs w:val="21"/>
              </w:rPr>
              <w:sym w:font="Wingdings 2" w:char="F052"/>
            </w:r>
            <w:r>
              <w:rPr>
                <w:rFonts w:hint="eastAsia" w:ascii="仿宋_GB2312" w:hAnsi="宋体" w:eastAsia="仿宋_GB2312"/>
                <w:sz w:val="24"/>
                <w:szCs w:val="21"/>
              </w:rPr>
              <w:t xml:space="preserve">CMA  </w:t>
            </w:r>
            <w:r>
              <w:rPr>
                <w:rFonts w:hint="eastAsia" w:ascii="宋体"/>
                <w:sz w:val="24"/>
                <w:szCs w:val="21"/>
              </w:rPr>
              <w:sym w:font="Wingdings 2" w:char="F052"/>
            </w:r>
            <w:r>
              <w:rPr>
                <w:rFonts w:hint="eastAsia" w:ascii="仿宋_GB2312" w:hAnsi="宋体" w:eastAsia="仿宋_GB2312"/>
                <w:sz w:val="24"/>
                <w:szCs w:val="21"/>
              </w:rPr>
              <w:t xml:space="preserve">CAL </w:t>
            </w:r>
            <w:r>
              <w:rPr>
                <w:rFonts w:hint="eastAsia" w:ascii="宋体"/>
                <w:sz w:val="24"/>
                <w:szCs w:val="21"/>
              </w:rPr>
              <w:sym w:font="Wingdings 2" w:char="F052"/>
            </w:r>
            <w:r>
              <w:rPr>
                <w:rFonts w:hint="eastAsia" w:ascii="仿宋_GB2312" w:hAnsi="宋体" w:eastAsia="仿宋_GB2312"/>
                <w:sz w:val="24"/>
                <w:szCs w:val="21"/>
              </w:rPr>
              <w:t>CNAS</w:t>
            </w:r>
          </w:p>
        </w:tc>
      </w:tr>
    </w:tbl>
    <w:p>
      <w:pPr>
        <w:snapToGrid w:val="0"/>
        <w:spacing w:before="156" w:beforeLines="50" w:line="540" w:lineRule="exact"/>
        <w:ind w:firstLine="548" w:firstLineChars="196"/>
        <w:rPr>
          <w:rFonts w:ascii="仿宋_GB2312" w:hAnsi="宋体" w:eastAsia="仿宋_GB2312"/>
          <w:sz w:val="28"/>
          <w:szCs w:val="28"/>
        </w:rPr>
      </w:pPr>
      <w:r>
        <w:rPr>
          <w:rFonts w:hint="eastAsia" w:ascii="仿宋_GB2312" w:hAnsi="宋体" w:eastAsia="仿宋_GB2312"/>
          <w:sz w:val="28"/>
          <w:szCs w:val="28"/>
        </w:rPr>
        <w:t>相关产品的强制性标准、行业标准、政府法规及产品的明示标准（包括备案的企业标准）和明示担保内容。</w:t>
      </w:r>
    </w:p>
    <w:p>
      <w:pPr>
        <w:pStyle w:val="3"/>
      </w:pPr>
      <w:r>
        <w:rPr>
          <w:rFonts w:hint="eastAsia"/>
        </w:rPr>
        <w:t>5 抽样</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5.1 抽样型号或规格</w:t>
      </w:r>
    </w:p>
    <w:p>
      <w:pPr>
        <w:snapToGrid w:val="0"/>
        <w:spacing w:line="540" w:lineRule="exact"/>
        <w:ind w:firstLine="537" w:firstLineChars="192"/>
        <w:rPr>
          <w:rFonts w:ascii="仿宋_GB2312" w:hAnsi="宋体" w:eastAsia="仿宋_GB2312"/>
          <w:sz w:val="28"/>
          <w:szCs w:val="28"/>
        </w:rPr>
      </w:pPr>
      <w:r>
        <w:rPr>
          <w:rFonts w:hint="eastAsia" w:ascii="仿宋_GB2312" w:hAnsi="宋体" w:eastAsia="仿宋_GB2312"/>
          <w:sz w:val="28"/>
          <w:szCs w:val="28"/>
        </w:rPr>
        <w:t>抽取样品须为同一型号规格，同一批次的产品。</w:t>
      </w:r>
    </w:p>
    <w:p>
      <w:pPr>
        <w:snapToGrid w:val="0"/>
        <w:spacing w:line="540" w:lineRule="exact"/>
        <w:rPr>
          <w:rFonts w:ascii="仿宋_GB2312" w:hAnsi="宋体" w:eastAsia="仿宋_GB2312"/>
          <w:b/>
          <w:sz w:val="28"/>
          <w:szCs w:val="28"/>
        </w:rPr>
      </w:pPr>
      <w:r>
        <w:rPr>
          <w:rFonts w:hint="eastAsia" w:ascii="仿宋_GB2312" w:hAnsi="仿宋" w:eastAsia="仿宋_GB2312"/>
          <w:b/>
          <w:sz w:val="28"/>
          <w:szCs w:val="28"/>
        </w:rPr>
        <w:t xml:space="preserve">5.2 </w:t>
      </w:r>
      <w:r>
        <w:rPr>
          <w:rFonts w:hint="eastAsia" w:ascii="仿宋_GB2312" w:hAnsi="宋体" w:eastAsia="仿宋_GB2312"/>
          <w:b/>
          <w:sz w:val="28"/>
          <w:szCs w:val="28"/>
        </w:rPr>
        <w:t>取样方式</w:t>
      </w:r>
    </w:p>
    <w:p>
      <w:pPr>
        <w:snapToGrid w:val="0"/>
        <w:spacing w:line="540" w:lineRule="exact"/>
        <w:ind w:firstLine="562" w:firstLineChars="200"/>
        <w:rPr>
          <w:rFonts w:ascii="仿宋_GB2312" w:hAnsi="宋体" w:eastAsia="仿宋_GB2312"/>
          <w:sz w:val="28"/>
          <w:szCs w:val="28"/>
        </w:rPr>
      </w:pPr>
      <w:r>
        <w:rPr>
          <w:rFonts w:hint="eastAsia" w:ascii="仿宋_GB2312" w:hAnsi="宋体" w:eastAsia="仿宋_GB2312"/>
          <w:b/>
          <w:bCs/>
          <w:sz w:val="28"/>
          <w:szCs w:val="28"/>
        </w:rPr>
        <w:t>生产领域：</w:t>
      </w:r>
      <w:r>
        <w:rPr>
          <w:rFonts w:hint="eastAsia" w:ascii="仿宋_GB2312" w:hAnsi="宋体" w:eastAsia="仿宋_GB2312"/>
          <w:sz w:val="28"/>
          <w:szCs w:val="28"/>
        </w:rPr>
        <w:t>在生产企业的成品库内、生产线末端随机抽取经企业检验合格或以任何方式表明已检验合格的并在国内销售的成品。在生产企业抽样，检验样品原则上以向企业购样为主，备用样品由被抽样企业先行无偿提供，并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54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流通领域：在流通领域抽样可在实体店以及网络交易平台两种途径获得样品。</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1.实体店：在市场上随机抽取经企业检验合格或以任何方式表明已检验合格的并在国内销售的成品。在经销企业抽样，检验样品原则上以向商家购样为主，备用样品由商家先行无偿提供，并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2.网络交易平台：若网络交易平台是在深汕特别合作区登记注册的，可对该平台的自营商品进行抽检。若网络交易平台不在深汕特别合作区登记注册的，仅可对其平台上在深汕特别合作区依法登记的经营者销售的商品进行抽检。在网络交易平台抽样，检验样品以及备用样品原则上均以向商家购样为主。</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5.3 抽样基数</w:t>
      </w:r>
    </w:p>
    <w:p>
      <w:pPr>
        <w:snapToGrid w:val="0"/>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在生产企业和市场上抽样时，抽样基数应不少于抽取样品量。</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5.4 抽样数量</w:t>
      </w:r>
    </w:p>
    <w:p>
      <w:pPr>
        <w:ind w:firstLine="560" w:firstLineChars="200"/>
        <w:rPr>
          <w:rFonts w:ascii="仿宋_GB2312" w:hAnsi="黑体" w:eastAsia="仿宋_GB2312"/>
          <w:sz w:val="28"/>
          <w:szCs w:val="28"/>
        </w:rPr>
      </w:pPr>
      <w:r>
        <w:rPr>
          <w:rFonts w:hint="eastAsia" w:ascii="仿宋_GB2312" w:eastAsia="仿宋_GB2312"/>
          <w:sz w:val="28"/>
          <w:szCs w:val="28"/>
        </w:rPr>
        <w:t>抽取样品的数量不得超过检验、复检的合理需要，具体数量见表5。</w:t>
      </w:r>
    </w:p>
    <w:p>
      <w:pPr>
        <w:jc w:val="center"/>
        <w:rPr>
          <w:rFonts w:ascii="黑体" w:hAnsi="黑体" w:eastAsia="黑体"/>
          <w:sz w:val="28"/>
          <w:szCs w:val="28"/>
        </w:rPr>
      </w:pPr>
      <w:r>
        <w:rPr>
          <w:rFonts w:hint="eastAsia" w:ascii="黑体" w:hAnsi="黑体" w:eastAsia="黑体"/>
          <w:sz w:val="28"/>
          <w:szCs w:val="28"/>
        </w:rPr>
        <w:t>表5  塑料制品抽样数量</w:t>
      </w:r>
    </w:p>
    <w:tbl>
      <w:tblPr>
        <w:tblStyle w:val="6"/>
        <w:tblW w:w="9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694"/>
        <w:gridCol w:w="3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943" w:type="dxa"/>
            <w:noWrap w:val="0"/>
            <w:vAlign w:val="center"/>
          </w:tcPr>
          <w:p>
            <w:pPr>
              <w:widowControl/>
              <w:spacing w:before="100" w:beforeAutospacing="1" w:after="100" w:afterAutospacing="1" w:line="360" w:lineRule="exact"/>
              <w:jc w:val="center"/>
              <w:textAlignment w:val="center"/>
              <w:rPr>
                <w:rFonts w:ascii="黑体" w:hAnsi="黑体" w:eastAsia="黑体" w:cs="宋体"/>
                <w:sz w:val="24"/>
              </w:rPr>
            </w:pPr>
            <w:r>
              <w:rPr>
                <w:rFonts w:hint="eastAsia" w:ascii="黑体" w:hAnsi="黑体" w:eastAsia="黑体" w:cs="宋体"/>
                <w:sz w:val="24"/>
              </w:rPr>
              <w:t>产品类别</w:t>
            </w:r>
          </w:p>
        </w:tc>
        <w:tc>
          <w:tcPr>
            <w:tcW w:w="2694" w:type="dxa"/>
            <w:noWrap w:val="0"/>
            <w:vAlign w:val="center"/>
          </w:tcPr>
          <w:p>
            <w:pPr>
              <w:widowControl/>
              <w:spacing w:before="100" w:beforeAutospacing="1" w:after="100" w:afterAutospacing="1" w:line="360" w:lineRule="exact"/>
              <w:jc w:val="center"/>
              <w:textAlignment w:val="center"/>
              <w:rPr>
                <w:rFonts w:ascii="黑体" w:hAnsi="黑体" w:eastAsia="黑体" w:cs="宋体"/>
                <w:sz w:val="24"/>
              </w:rPr>
            </w:pPr>
            <w:r>
              <w:rPr>
                <w:rFonts w:hint="eastAsia" w:ascii="黑体" w:hAnsi="黑体" w:eastAsia="黑体" w:cs="宋体"/>
                <w:sz w:val="24"/>
              </w:rPr>
              <w:t>检验样品数量</w:t>
            </w:r>
          </w:p>
        </w:tc>
        <w:tc>
          <w:tcPr>
            <w:tcW w:w="3368" w:type="dxa"/>
            <w:noWrap w:val="0"/>
            <w:vAlign w:val="center"/>
          </w:tcPr>
          <w:p>
            <w:pPr>
              <w:widowControl/>
              <w:spacing w:before="100" w:beforeAutospacing="1" w:after="100" w:afterAutospacing="1" w:line="360" w:lineRule="exact"/>
              <w:jc w:val="center"/>
              <w:textAlignment w:val="center"/>
              <w:rPr>
                <w:rFonts w:ascii="黑体" w:hAnsi="黑体" w:eastAsia="黑体" w:cs="宋体"/>
                <w:sz w:val="24"/>
              </w:rPr>
            </w:pPr>
            <w:r>
              <w:rPr>
                <w:rFonts w:hint="eastAsia" w:ascii="黑体" w:hAnsi="黑体" w:eastAsia="黑体" w:cs="宋体"/>
                <w:sz w:val="24"/>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sz w:val="24"/>
              </w:rPr>
            </w:pPr>
            <w:r>
              <w:rPr>
                <w:rFonts w:hint="eastAsia" w:ascii="仿宋_GB2312" w:hAnsi="宋体" w:eastAsia="仿宋_GB2312"/>
                <w:sz w:val="24"/>
                <w:szCs w:val="21"/>
              </w:rPr>
              <w:t>室内塑料垃圾桶</w:t>
            </w:r>
          </w:p>
        </w:tc>
        <w:tc>
          <w:tcPr>
            <w:tcW w:w="2694"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sz w:val="24"/>
              </w:rPr>
            </w:pPr>
            <w:r>
              <w:rPr>
                <w:rFonts w:hint="eastAsia" w:ascii="仿宋_GB2312" w:hAnsi="仿宋" w:eastAsia="仿宋_GB2312" w:cs="宋体"/>
                <w:bCs/>
                <w:sz w:val="24"/>
              </w:rPr>
              <w:t>21个</w:t>
            </w:r>
          </w:p>
        </w:tc>
        <w:tc>
          <w:tcPr>
            <w:tcW w:w="3368" w:type="dxa"/>
            <w:noWrap w:val="0"/>
            <w:vAlign w:val="center"/>
          </w:tcPr>
          <w:p>
            <w:pPr>
              <w:widowControl/>
              <w:spacing w:before="100" w:beforeAutospacing="1" w:after="100" w:afterAutospacing="1" w:line="360" w:lineRule="exact"/>
              <w:jc w:val="center"/>
              <w:textAlignment w:val="center"/>
              <w:rPr>
                <w:rFonts w:ascii="仿宋_GB2312" w:hAnsi="仿宋" w:eastAsia="仿宋_GB2312" w:cs="宋体"/>
                <w:bCs/>
                <w:sz w:val="24"/>
              </w:rPr>
            </w:pPr>
            <w:r>
              <w:rPr>
                <w:rFonts w:hint="eastAsia" w:ascii="仿宋_GB2312" w:hAnsi="仿宋" w:eastAsia="仿宋_GB2312" w:cs="宋体"/>
                <w:bCs/>
                <w:sz w:val="24"/>
              </w:rPr>
              <w:t>15个</w:t>
            </w:r>
          </w:p>
        </w:tc>
      </w:tr>
    </w:tbl>
    <w:p>
      <w:pPr>
        <w:snapToGrid w:val="0"/>
        <w:spacing w:before="156" w:beforeLines="50" w:line="540" w:lineRule="exact"/>
        <w:ind w:firstLine="548" w:firstLineChars="196"/>
        <w:rPr>
          <w:rFonts w:ascii="仿宋_GB2312" w:hAnsi="宋体" w:eastAsia="仿宋_GB2312"/>
          <w:sz w:val="28"/>
          <w:szCs w:val="28"/>
        </w:rPr>
      </w:pPr>
      <w:r>
        <w:rPr>
          <w:rFonts w:hint="eastAsia" w:ascii="仿宋_GB2312" w:hAnsi="宋体" w:eastAsia="仿宋_GB2312"/>
          <w:sz w:val="28"/>
          <w:szCs w:val="28"/>
        </w:rPr>
        <w:t>生产领域及流通领域抽样，检验样品带回承检单位，备用样品封存于承检单位。</w:t>
      </w:r>
    </w:p>
    <w:p>
      <w:pPr>
        <w:snapToGrid w:val="0"/>
        <w:spacing w:line="540" w:lineRule="exact"/>
        <w:rPr>
          <w:rFonts w:ascii="仿宋_GB2312" w:hAnsi="宋体" w:eastAsia="仿宋_GB2312"/>
          <w:b/>
          <w:bCs/>
          <w:sz w:val="28"/>
          <w:szCs w:val="28"/>
        </w:rPr>
      </w:pPr>
      <w:r>
        <w:rPr>
          <w:rFonts w:hint="eastAsia" w:ascii="仿宋_GB2312" w:hAnsi="宋体" w:eastAsia="仿宋_GB2312"/>
          <w:b/>
          <w:bCs/>
          <w:sz w:val="28"/>
          <w:szCs w:val="28"/>
        </w:rPr>
        <w:t>5.5 取样要求</w:t>
      </w:r>
    </w:p>
    <w:p>
      <w:pPr>
        <w:snapToGrid w:val="0"/>
        <w:spacing w:line="540" w:lineRule="exact"/>
        <w:rPr>
          <w:rFonts w:ascii="仿宋_GB2312" w:hAnsi="宋体" w:eastAsia="仿宋_GB2312"/>
          <w:sz w:val="28"/>
          <w:szCs w:val="28"/>
        </w:rPr>
      </w:pPr>
      <w:r>
        <w:rPr>
          <w:rFonts w:hint="eastAsia" w:ascii="仿宋_GB2312" w:hAnsi="宋体" w:eastAsia="仿宋_GB2312"/>
          <w:b/>
          <w:bCs/>
          <w:sz w:val="28"/>
          <w:szCs w:val="28"/>
        </w:rPr>
        <w:t>5.5.1</w:t>
      </w:r>
      <w:r>
        <w:rPr>
          <w:rFonts w:hint="eastAsia" w:ascii="仿宋_GB2312" w:hAnsi="宋体" w:eastAsia="仿宋_GB2312"/>
          <w:sz w:val="28"/>
          <w:szCs w:val="28"/>
        </w:rPr>
        <w:t xml:space="preserve"> 样品应当由抽样人员在被抽样生产者、销售者的代销产品中随机抽取，不得由被抽样生产者、销售者自行抽样。</w:t>
      </w:r>
    </w:p>
    <w:p>
      <w:pPr>
        <w:snapToGrid w:val="0"/>
        <w:spacing w:line="540" w:lineRule="exact"/>
        <w:rPr>
          <w:rFonts w:ascii="仿宋_GB2312" w:hAnsi="宋体" w:eastAsia="仿宋_GB2312"/>
          <w:sz w:val="28"/>
          <w:szCs w:val="28"/>
        </w:rPr>
      </w:pPr>
      <w:r>
        <w:rPr>
          <w:rFonts w:hint="eastAsia" w:ascii="仿宋_GB2312" w:hAnsi="宋体" w:eastAsia="仿宋_GB2312"/>
          <w:b/>
          <w:bCs/>
          <w:sz w:val="28"/>
          <w:szCs w:val="28"/>
        </w:rPr>
        <w:t>5.5.2</w:t>
      </w:r>
      <w:r>
        <w:rPr>
          <w:rFonts w:hint="eastAsia" w:ascii="仿宋_GB2312" w:hAnsi="宋体" w:eastAsia="仿宋_GB2312"/>
          <w:sz w:val="28"/>
          <w:szCs w:val="28"/>
        </w:rPr>
        <w:t xml:space="preserve"> 抽样人员发现被抽样生产者、销售者涉嫌存在无证无照等无需检验即可判定违法的情形的，应当终止抽样，立即报告组织监督抽查的市场监督管理部门，并同时报告涉嫌违法的被抽样生产者、销售者所在地县级市场监督管理部门。</w:t>
      </w:r>
    </w:p>
    <w:p>
      <w:pPr>
        <w:snapToGrid w:val="0"/>
        <w:spacing w:line="540" w:lineRule="exact"/>
        <w:rPr>
          <w:rFonts w:ascii="仿宋_GB2312" w:hAnsi="宋体" w:eastAsia="仿宋_GB2312"/>
          <w:b/>
          <w:sz w:val="28"/>
          <w:szCs w:val="28"/>
        </w:rPr>
      </w:pPr>
      <w:r>
        <w:rPr>
          <w:rFonts w:hint="eastAsia" w:ascii="仿宋_GB2312" w:hAnsi="宋体" w:eastAsia="仿宋_GB2312"/>
          <w:b/>
          <w:bCs/>
          <w:sz w:val="28"/>
          <w:szCs w:val="28"/>
        </w:rPr>
        <w:t xml:space="preserve">5.5.3 </w:t>
      </w:r>
      <w:r>
        <w:rPr>
          <w:rFonts w:hint="eastAsia" w:ascii="仿宋_GB2312" w:hAnsi="宋体" w:eastAsia="仿宋_GB2312"/>
          <w:sz w:val="28"/>
          <w:szCs w:val="28"/>
        </w:rPr>
        <w:t>抽样时应一并抽取产品的配件、赠品等。</w:t>
      </w:r>
    </w:p>
    <w:p>
      <w:pPr>
        <w:snapToGrid w:val="0"/>
        <w:spacing w:line="540" w:lineRule="exact"/>
        <w:rPr>
          <w:rFonts w:ascii="仿宋_GB2312" w:hAnsi="宋体" w:eastAsia="仿宋_GB2312"/>
          <w:b/>
          <w:sz w:val="28"/>
          <w:szCs w:val="28"/>
        </w:rPr>
      </w:pPr>
      <w:r>
        <w:rPr>
          <w:rFonts w:hint="eastAsia" w:ascii="仿宋_GB2312" w:hAnsi="宋体" w:eastAsia="仿宋_GB2312"/>
          <w:b/>
          <w:sz w:val="28"/>
          <w:szCs w:val="28"/>
        </w:rPr>
        <w:t>5.6 样品处置</w:t>
      </w:r>
    </w:p>
    <w:p>
      <w:pPr>
        <w:spacing w:line="540" w:lineRule="exact"/>
        <w:rPr>
          <w:rFonts w:ascii="仿宋_GB2312" w:hAnsi="宋体" w:eastAsia="仿宋_GB2312"/>
          <w:sz w:val="28"/>
          <w:szCs w:val="28"/>
        </w:rPr>
      </w:pPr>
      <w:r>
        <w:rPr>
          <w:rFonts w:hint="eastAsia" w:ascii="仿宋_GB2312" w:hAnsi="ˎ̥" w:eastAsia="仿宋_GB2312"/>
          <w:b/>
          <w:sz w:val="28"/>
          <w:szCs w:val="28"/>
        </w:rPr>
        <w:t>5.6.1</w:t>
      </w:r>
      <w:r>
        <w:rPr>
          <w:rFonts w:hint="eastAsia" w:ascii="仿宋_GB2312" w:hAnsi="宋体" w:eastAsia="仿宋_GB2312"/>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540" w:lineRule="exact"/>
        <w:rPr>
          <w:rFonts w:ascii="仿宋_GB2312" w:eastAsia="仿宋_GB2312"/>
          <w:sz w:val="28"/>
          <w:szCs w:val="28"/>
        </w:rPr>
      </w:pPr>
      <w:r>
        <w:rPr>
          <w:rFonts w:hint="eastAsia" w:ascii="仿宋_GB2312" w:hAnsi="宋体" w:eastAsia="仿宋_GB2312"/>
          <w:b/>
          <w:sz w:val="28"/>
          <w:szCs w:val="28"/>
        </w:rPr>
        <w:t xml:space="preserve">5.6.2 </w:t>
      </w:r>
      <w:r>
        <w:rPr>
          <w:rFonts w:hint="eastAsia" w:ascii="仿宋_GB2312" w:eastAsia="仿宋_GB2312"/>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autoSpaceDE w:val="0"/>
        <w:autoSpaceDN w:val="0"/>
        <w:adjustRightInd w:val="0"/>
        <w:spacing w:line="540" w:lineRule="exact"/>
        <w:rPr>
          <w:rFonts w:ascii="仿宋_GB2312" w:hAnsi="宋体" w:eastAsia="仿宋_GB2312"/>
          <w:b/>
          <w:sz w:val="28"/>
          <w:szCs w:val="28"/>
        </w:rPr>
      </w:pPr>
      <w:r>
        <w:rPr>
          <w:rFonts w:hint="eastAsia" w:ascii="仿宋_GB2312" w:hAnsi="宋体" w:eastAsia="仿宋_GB2312"/>
          <w:b/>
          <w:sz w:val="28"/>
          <w:szCs w:val="28"/>
        </w:rPr>
        <w:t>5.7 抽样单</w:t>
      </w:r>
    </w:p>
    <w:p>
      <w:pPr>
        <w:snapToGrid w:val="0"/>
        <w:spacing w:line="540" w:lineRule="exact"/>
        <w:ind w:firstLine="560" w:firstLineChars="200"/>
        <w:rPr>
          <w:rFonts w:ascii="仿宋_GB2312" w:eastAsia="仿宋_GB2312" w:cs="Sim Sun"/>
          <w:kern w:val="0"/>
          <w:sz w:val="28"/>
          <w:szCs w:val="28"/>
        </w:rPr>
      </w:pPr>
      <w:r>
        <w:rPr>
          <w:rFonts w:hint="eastAsia" w:ascii="仿宋_GB2312" w:hAnsi="宋体" w:eastAsia="仿宋_GB2312"/>
          <w:sz w:val="28"/>
          <w:szCs w:val="28"/>
        </w:rPr>
        <w:t>应按有关规定填写抽样单，并记录被抽查产品及企业相关信息。</w:t>
      </w:r>
    </w:p>
    <w:p>
      <w:pPr>
        <w:pStyle w:val="3"/>
      </w:pPr>
      <w:r>
        <w:rPr>
          <w:rFonts w:hint="eastAsia"/>
        </w:rPr>
        <w:t>6 检验要求</w:t>
      </w:r>
    </w:p>
    <w:p>
      <w:pPr>
        <w:snapToGrid w:val="0"/>
        <w:spacing w:line="540" w:lineRule="exact"/>
        <w:rPr>
          <w:rFonts w:hint="eastAsia" w:ascii="仿宋_GB2312" w:hAnsi="宋体" w:eastAsia="仿宋_GB2312"/>
          <w:b/>
          <w:sz w:val="28"/>
          <w:szCs w:val="28"/>
        </w:rPr>
      </w:pPr>
      <w:r>
        <w:rPr>
          <w:rFonts w:hint="eastAsia" w:ascii="仿宋_GB2312" w:hAnsi="宋体" w:eastAsia="仿宋_GB2312"/>
          <w:b/>
          <w:sz w:val="28"/>
          <w:szCs w:val="28"/>
        </w:rPr>
        <w:t>6.1 检验项目</w:t>
      </w:r>
    </w:p>
    <w:p>
      <w:pPr>
        <w:snapToGrid w:val="0"/>
        <w:spacing w:line="540" w:lineRule="exact"/>
        <w:rPr>
          <w:rFonts w:hint="eastAsia" w:ascii="仿宋_GB2312" w:hAnsi="宋体" w:eastAsia="仿宋_GB2312"/>
          <w:b/>
          <w:sz w:val="28"/>
          <w:szCs w:val="28"/>
        </w:rPr>
      </w:pPr>
    </w:p>
    <w:p>
      <w:pPr>
        <w:snapToGrid w:val="0"/>
        <w:spacing w:line="540" w:lineRule="exact"/>
        <w:rPr>
          <w:rFonts w:ascii="仿宋_GB2312" w:hAnsi="宋体" w:eastAsia="仿宋_GB2312"/>
          <w:b/>
          <w:sz w:val="28"/>
          <w:szCs w:val="28"/>
        </w:rPr>
      </w:pPr>
    </w:p>
    <w:p>
      <w:pPr>
        <w:pStyle w:val="4"/>
        <w:spacing w:line="600" w:lineRule="exact"/>
        <w:rPr>
          <w:rFonts w:ascii="仿宋_GB2312"/>
          <w:bCs/>
          <w:szCs w:val="28"/>
        </w:rPr>
      </w:pPr>
      <w:r>
        <w:rPr>
          <w:rFonts w:hint="eastAsia" w:ascii="仿宋_GB2312"/>
          <w:bCs/>
          <w:szCs w:val="28"/>
        </w:rPr>
        <w:t>6.1.1室内塑料垃圾桶</w:t>
      </w:r>
    </w:p>
    <w:tbl>
      <w:tblPr>
        <w:tblStyle w:val="6"/>
        <w:tblW w:w="91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351"/>
        <w:gridCol w:w="2126"/>
        <w:gridCol w:w="1276"/>
        <w:gridCol w:w="2126"/>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blHeader/>
          <w:jc w:val="center"/>
        </w:trPr>
        <w:tc>
          <w:tcPr>
            <w:tcW w:w="634" w:type="dxa"/>
            <w:noWrap w:val="0"/>
            <w:vAlign w:val="center"/>
          </w:tcPr>
          <w:p>
            <w:pPr>
              <w:widowControl/>
              <w:snapToGrid w:val="0"/>
              <w:spacing w:before="100" w:beforeAutospacing="1" w:after="100" w:afterAutospacing="1" w:line="300" w:lineRule="exact"/>
              <w:jc w:val="center"/>
              <w:rPr>
                <w:rFonts w:ascii="黑体" w:hAnsi="黑体" w:eastAsia="黑体"/>
                <w:bCs/>
                <w:sz w:val="24"/>
              </w:rPr>
            </w:pPr>
            <w:r>
              <w:rPr>
                <w:rFonts w:hint="eastAsia" w:ascii="黑体" w:hAnsi="黑体" w:eastAsia="黑体"/>
                <w:bCs/>
                <w:sz w:val="24"/>
              </w:rPr>
              <w:t>序号</w:t>
            </w:r>
          </w:p>
        </w:tc>
        <w:tc>
          <w:tcPr>
            <w:tcW w:w="1351" w:type="dxa"/>
            <w:noWrap w:val="0"/>
            <w:vAlign w:val="center"/>
          </w:tcPr>
          <w:p>
            <w:pPr>
              <w:widowControl/>
              <w:snapToGrid w:val="0"/>
              <w:spacing w:before="100" w:beforeAutospacing="1" w:after="100" w:afterAutospacing="1" w:line="300" w:lineRule="exact"/>
              <w:jc w:val="center"/>
              <w:rPr>
                <w:rFonts w:ascii="黑体" w:hAnsi="黑体" w:eastAsia="黑体"/>
                <w:bCs/>
                <w:sz w:val="24"/>
              </w:rPr>
            </w:pPr>
            <w:r>
              <w:rPr>
                <w:rFonts w:hint="eastAsia" w:ascii="黑体" w:hAnsi="黑体" w:eastAsia="黑体"/>
                <w:bCs/>
                <w:sz w:val="24"/>
              </w:rPr>
              <w:t>检验项目</w:t>
            </w:r>
          </w:p>
        </w:tc>
        <w:tc>
          <w:tcPr>
            <w:tcW w:w="2126" w:type="dxa"/>
            <w:noWrap w:val="0"/>
            <w:vAlign w:val="center"/>
          </w:tcPr>
          <w:p>
            <w:pPr>
              <w:widowControl/>
              <w:snapToGrid w:val="0"/>
              <w:spacing w:before="100" w:beforeAutospacing="1" w:after="100" w:afterAutospacing="1" w:line="300" w:lineRule="exact"/>
              <w:jc w:val="center"/>
              <w:rPr>
                <w:rFonts w:ascii="黑体" w:hAnsi="黑体" w:eastAsia="黑体"/>
                <w:bCs/>
                <w:sz w:val="24"/>
              </w:rPr>
            </w:pPr>
            <w:r>
              <w:rPr>
                <w:rFonts w:hint="eastAsia" w:ascii="黑体" w:hAnsi="黑体" w:eastAsia="黑体"/>
                <w:bCs/>
                <w:sz w:val="24"/>
              </w:rPr>
              <w:t>检测依据</w:t>
            </w:r>
          </w:p>
        </w:tc>
        <w:tc>
          <w:tcPr>
            <w:tcW w:w="1276" w:type="dxa"/>
            <w:noWrap w:val="0"/>
            <w:vAlign w:val="center"/>
          </w:tcPr>
          <w:p>
            <w:pPr>
              <w:widowControl/>
              <w:snapToGrid w:val="0"/>
              <w:spacing w:before="100" w:beforeAutospacing="1" w:after="100" w:afterAutospacing="1" w:line="300" w:lineRule="exact"/>
              <w:jc w:val="center"/>
              <w:rPr>
                <w:rFonts w:ascii="黑体" w:hAnsi="黑体" w:eastAsia="黑体"/>
                <w:bCs/>
                <w:sz w:val="24"/>
              </w:rPr>
            </w:pPr>
            <w:r>
              <w:rPr>
                <w:rFonts w:hint="eastAsia" w:ascii="黑体" w:hAnsi="黑体" w:eastAsia="黑体"/>
                <w:bCs/>
                <w:sz w:val="24"/>
              </w:rPr>
              <w:t>项目性质</w:t>
            </w:r>
          </w:p>
        </w:tc>
        <w:tc>
          <w:tcPr>
            <w:tcW w:w="2126" w:type="dxa"/>
            <w:noWrap w:val="0"/>
            <w:vAlign w:val="center"/>
          </w:tcPr>
          <w:p>
            <w:pPr>
              <w:widowControl/>
              <w:snapToGrid w:val="0"/>
              <w:spacing w:before="100" w:beforeAutospacing="1" w:after="100" w:afterAutospacing="1" w:line="300" w:lineRule="exact"/>
              <w:jc w:val="center"/>
              <w:rPr>
                <w:rFonts w:ascii="黑体" w:hAnsi="黑体" w:eastAsia="黑体"/>
                <w:bCs/>
                <w:sz w:val="24"/>
              </w:rPr>
            </w:pPr>
            <w:r>
              <w:rPr>
                <w:rFonts w:hint="eastAsia" w:ascii="黑体" w:hAnsi="黑体" w:eastAsia="黑体"/>
                <w:bCs/>
                <w:sz w:val="24"/>
              </w:rPr>
              <w:t>检测方法</w:t>
            </w:r>
          </w:p>
        </w:tc>
        <w:tc>
          <w:tcPr>
            <w:tcW w:w="1666" w:type="dxa"/>
            <w:noWrap w:val="0"/>
            <w:vAlign w:val="center"/>
          </w:tcPr>
          <w:p>
            <w:pPr>
              <w:snapToGrid w:val="0"/>
              <w:spacing w:before="100" w:beforeAutospacing="1" w:after="100" w:afterAutospacing="1" w:line="300" w:lineRule="exact"/>
              <w:jc w:val="center"/>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4"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1</w:t>
            </w:r>
          </w:p>
        </w:tc>
        <w:tc>
          <w:tcPr>
            <w:tcW w:w="13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外观</w:t>
            </w:r>
          </w:p>
        </w:tc>
        <w:tc>
          <w:tcPr>
            <w:tcW w:w="2126" w:type="dxa"/>
            <w:noWrap w:val="0"/>
            <w:vAlign w:val="center"/>
          </w:tcPr>
          <w:p>
            <w:pPr>
              <w:spacing w:before="100" w:beforeAutospacing="1" w:after="100" w:afterAutospacing="1" w:line="300" w:lineRule="exact"/>
              <w:jc w:val="center"/>
              <w:rPr>
                <w:rFonts w:ascii="仿宋_GB2312" w:hAnsi="仿宋" w:eastAsia="仿宋_GB2312" w:cs="宋体"/>
                <w:spacing w:val="-10"/>
                <w:sz w:val="24"/>
              </w:rPr>
            </w:pPr>
            <w:r>
              <w:rPr>
                <w:rFonts w:ascii="仿宋_GB2312" w:hAnsi="仿宋" w:eastAsia="仿宋_GB2312" w:cs="宋体"/>
                <w:spacing w:val="-10"/>
                <w:sz w:val="24"/>
              </w:rPr>
              <w:t>GB/T</w:t>
            </w:r>
            <w:r>
              <w:rPr>
                <w:rFonts w:hint="eastAsia" w:ascii="仿宋_GB2312" w:hAnsi="仿宋" w:eastAsia="仿宋_GB2312" w:cs="宋体"/>
                <w:spacing w:val="-10"/>
                <w:sz w:val="24"/>
              </w:rPr>
              <w:t xml:space="preserve"> </w:t>
            </w:r>
            <w:r>
              <w:rPr>
                <w:rFonts w:ascii="仿宋_GB2312" w:hAnsi="仿宋" w:eastAsia="仿宋_GB2312" w:cs="宋体"/>
                <w:spacing w:val="-10"/>
                <w:sz w:val="24"/>
              </w:rPr>
              <w:t>28797-2012</w:t>
            </w:r>
          </w:p>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pacing w:val="-10"/>
                <w:sz w:val="24"/>
              </w:rPr>
              <w:t>5.1</w:t>
            </w:r>
          </w:p>
        </w:tc>
        <w:tc>
          <w:tcPr>
            <w:tcW w:w="1276"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推荐性</w:t>
            </w:r>
          </w:p>
        </w:tc>
        <w:tc>
          <w:tcPr>
            <w:tcW w:w="2126"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ascii="仿宋_GB2312" w:hAnsi="仿宋" w:eastAsia="仿宋_GB2312" w:cs="宋体"/>
                <w:sz w:val="24"/>
              </w:rPr>
              <w:t>GB/T</w:t>
            </w:r>
            <w:r>
              <w:rPr>
                <w:rFonts w:hint="eastAsia" w:ascii="仿宋_GB2312" w:hAnsi="仿宋" w:eastAsia="仿宋_GB2312" w:cs="宋体"/>
                <w:sz w:val="24"/>
              </w:rPr>
              <w:t xml:space="preserve"> </w:t>
            </w:r>
            <w:r>
              <w:rPr>
                <w:rFonts w:ascii="仿宋_GB2312" w:hAnsi="仿宋" w:eastAsia="仿宋_GB2312" w:cs="宋体"/>
                <w:sz w:val="24"/>
              </w:rPr>
              <w:t>28797-2012</w:t>
            </w:r>
            <w:r>
              <w:rPr>
                <w:rFonts w:hint="eastAsia" w:ascii="仿宋_GB2312" w:hAnsi="仿宋" w:eastAsia="仿宋_GB2312" w:cs="宋体"/>
                <w:sz w:val="24"/>
              </w:rPr>
              <w:t xml:space="preserve"> 6.1</w:t>
            </w:r>
          </w:p>
        </w:tc>
        <w:tc>
          <w:tcPr>
            <w:tcW w:w="1666" w:type="dxa"/>
            <w:noWrap w:val="0"/>
            <w:vAlign w:val="center"/>
          </w:tcPr>
          <w:p>
            <w:pPr>
              <w:pStyle w:val="8"/>
              <w:adjustRightInd w:val="0"/>
              <w:snapToGrid w:val="0"/>
              <w:spacing w:line="320" w:lineRule="exact"/>
              <w:jc w:val="center"/>
              <w:rPr>
                <w:rFonts w:ascii="仿宋_GB2312" w:hAnsi="仿宋" w:eastAsia="仿宋_GB2312"/>
                <w:szCs w:val="21"/>
              </w:rPr>
            </w:pPr>
            <w:r>
              <w:rPr>
                <w:rFonts w:hint="eastAsia" w:ascii="仿宋_GB2312" w:hAnsi="仿宋" w:eastAsia="仿宋_GB2312"/>
                <w:szCs w:val="21"/>
              </w:rPr>
              <w:t>原样/</w:t>
            </w:r>
          </w:p>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szCs w:val="21"/>
              </w:rPr>
              <w:t>备样</w:t>
            </w:r>
            <w:r>
              <w:rPr>
                <w:rFonts w:hint="eastAsia" w:ascii="仿宋_GB2312" w:hAnsi="仿宋" w:eastAsia="仿宋_GB2312" w:cs="宋体"/>
                <w:sz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4"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2</w:t>
            </w:r>
          </w:p>
        </w:tc>
        <w:tc>
          <w:tcPr>
            <w:tcW w:w="13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气味</w:t>
            </w:r>
          </w:p>
        </w:tc>
        <w:tc>
          <w:tcPr>
            <w:tcW w:w="2126"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ascii="仿宋_GB2312" w:hAnsi="仿宋" w:eastAsia="仿宋_GB2312" w:cs="宋体"/>
                <w:sz w:val="24"/>
              </w:rPr>
              <w:t>GB/T</w:t>
            </w:r>
            <w:r>
              <w:rPr>
                <w:rFonts w:hint="eastAsia" w:ascii="仿宋_GB2312" w:hAnsi="仿宋" w:eastAsia="仿宋_GB2312" w:cs="宋体"/>
                <w:sz w:val="24"/>
              </w:rPr>
              <w:t xml:space="preserve"> </w:t>
            </w:r>
            <w:r>
              <w:rPr>
                <w:rFonts w:ascii="仿宋_GB2312" w:hAnsi="仿宋" w:eastAsia="仿宋_GB2312" w:cs="宋体"/>
                <w:sz w:val="24"/>
              </w:rPr>
              <w:t>28797-2012</w:t>
            </w:r>
          </w:p>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5.2</w:t>
            </w:r>
          </w:p>
        </w:tc>
        <w:tc>
          <w:tcPr>
            <w:tcW w:w="1276" w:type="dxa"/>
            <w:noWrap w:val="0"/>
            <w:vAlign w:val="center"/>
          </w:tcPr>
          <w:p>
            <w:pPr>
              <w:jc w:val="center"/>
            </w:pPr>
            <w:r>
              <w:rPr>
                <w:rFonts w:hint="eastAsia" w:ascii="仿宋_GB2312" w:hAnsi="仿宋" w:eastAsia="仿宋_GB2312" w:cs="宋体"/>
                <w:sz w:val="24"/>
              </w:rPr>
              <w:t>推荐性</w:t>
            </w:r>
          </w:p>
        </w:tc>
        <w:tc>
          <w:tcPr>
            <w:tcW w:w="2126"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ascii="仿宋_GB2312" w:hAnsi="仿宋" w:eastAsia="仿宋_GB2312" w:cs="宋体"/>
                <w:sz w:val="24"/>
              </w:rPr>
              <w:t>GB/T</w:t>
            </w:r>
            <w:r>
              <w:rPr>
                <w:rFonts w:hint="eastAsia" w:ascii="仿宋_GB2312" w:hAnsi="仿宋" w:eastAsia="仿宋_GB2312" w:cs="宋体"/>
                <w:sz w:val="24"/>
              </w:rPr>
              <w:t xml:space="preserve"> </w:t>
            </w:r>
            <w:r>
              <w:rPr>
                <w:rFonts w:ascii="仿宋_GB2312" w:hAnsi="仿宋" w:eastAsia="仿宋_GB2312" w:cs="宋体"/>
                <w:sz w:val="24"/>
              </w:rPr>
              <w:t>28797-2012</w:t>
            </w:r>
          </w:p>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6.2</w:t>
            </w:r>
          </w:p>
        </w:tc>
        <w:tc>
          <w:tcPr>
            <w:tcW w:w="1666" w:type="dxa"/>
            <w:noWrap w:val="0"/>
            <w:vAlign w:val="center"/>
          </w:tcPr>
          <w:p>
            <w:pPr>
              <w:pStyle w:val="8"/>
              <w:adjustRightInd w:val="0"/>
              <w:snapToGrid w:val="0"/>
              <w:spacing w:line="320" w:lineRule="exact"/>
              <w:jc w:val="center"/>
              <w:rPr>
                <w:rFonts w:ascii="仿宋_GB2312" w:hAnsi="仿宋" w:eastAsia="仿宋_GB2312"/>
                <w:szCs w:val="21"/>
              </w:rPr>
            </w:pPr>
            <w:r>
              <w:rPr>
                <w:rFonts w:hint="eastAsia" w:ascii="仿宋_GB2312" w:hAnsi="仿宋" w:eastAsia="仿宋_GB2312"/>
                <w:szCs w:val="21"/>
              </w:rPr>
              <w:t>原样/</w:t>
            </w:r>
          </w:p>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szCs w:val="21"/>
              </w:rPr>
              <w:t>备样</w:t>
            </w:r>
            <w:r>
              <w:rPr>
                <w:rFonts w:hint="eastAsia" w:ascii="仿宋_GB2312" w:hAnsi="仿宋" w:eastAsia="仿宋_GB2312" w:cs="宋体"/>
                <w:sz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4"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3</w:t>
            </w:r>
          </w:p>
        </w:tc>
        <w:tc>
          <w:tcPr>
            <w:tcW w:w="13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容量偏差</w:t>
            </w:r>
          </w:p>
        </w:tc>
        <w:tc>
          <w:tcPr>
            <w:tcW w:w="2126"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ascii="仿宋_GB2312" w:hAnsi="仿宋" w:eastAsia="仿宋_GB2312" w:cs="宋体"/>
                <w:sz w:val="24"/>
              </w:rPr>
              <w:t>GB/T</w:t>
            </w:r>
            <w:r>
              <w:rPr>
                <w:rFonts w:hint="eastAsia" w:ascii="仿宋_GB2312" w:hAnsi="仿宋" w:eastAsia="仿宋_GB2312" w:cs="宋体"/>
                <w:sz w:val="24"/>
              </w:rPr>
              <w:t xml:space="preserve"> </w:t>
            </w:r>
            <w:r>
              <w:rPr>
                <w:rFonts w:ascii="仿宋_GB2312" w:hAnsi="仿宋" w:eastAsia="仿宋_GB2312" w:cs="宋体"/>
                <w:sz w:val="24"/>
              </w:rPr>
              <w:t>28797-2012</w:t>
            </w:r>
          </w:p>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5.3</w:t>
            </w:r>
          </w:p>
        </w:tc>
        <w:tc>
          <w:tcPr>
            <w:tcW w:w="1276" w:type="dxa"/>
            <w:noWrap w:val="0"/>
            <w:vAlign w:val="center"/>
          </w:tcPr>
          <w:p>
            <w:pPr>
              <w:jc w:val="center"/>
            </w:pPr>
            <w:r>
              <w:rPr>
                <w:rFonts w:hint="eastAsia" w:ascii="仿宋_GB2312" w:hAnsi="仿宋" w:eastAsia="仿宋_GB2312" w:cs="宋体"/>
                <w:sz w:val="24"/>
              </w:rPr>
              <w:t>推荐性</w:t>
            </w:r>
          </w:p>
        </w:tc>
        <w:tc>
          <w:tcPr>
            <w:tcW w:w="2126"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ascii="仿宋_GB2312" w:hAnsi="仿宋" w:eastAsia="仿宋_GB2312" w:cs="宋体"/>
                <w:sz w:val="24"/>
              </w:rPr>
              <w:t>GB/T</w:t>
            </w:r>
            <w:r>
              <w:rPr>
                <w:rFonts w:hint="eastAsia" w:ascii="仿宋_GB2312" w:hAnsi="仿宋" w:eastAsia="仿宋_GB2312" w:cs="宋体"/>
                <w:sz w:val="24"/>
              </w:rPr>
              <w:t xml:space="preserve"> </w:t>
            </w:r>
            <w:r>
              <w:rPr>
                <w:rFonts w:ascii="仿宋_GB2312" w:hAnsi="仿宋" w:eastAsia="仿宋_GB2312" w:cs="宋体"/>
                <w:sz w:val="24"/>
              </w:rPr>
              <w:t>28797-2012</w:t>
            </w:r>
          </w:p>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6.3</w:t>
            </w:r>
          </w:p>
        </w:tc>
        <w:tc>
          <w:tcPr>
            <w:tcW w:w="1666" w:type="dxa"/>
            <w:noWrap w:val="0"/>
            <w:vAlign w:val="center"/>
          </w:tcPr>
          <w:p>
            <w:pPr>
              <w:pStyle w:val="8"/>
              <w:adjustRightInd w:val="0"/>
              <w:snapToGrid w:val="0"/>
              <w:spacing w:line="320" w:lineRule="exact"/>
              <w:jc w:val="center"/>
              <w:rPr>
                <w:rFonts w:ascii="仿宋_GB2312" w:hAnsi="仿宋" w:eastAsia="仿宋_GB2312"/>
                <w:szCs w:val="21"/>
              </w:rPr>
            </w:pPr>
            <w:r>
              <w:rPr>
                <w:rFonts w:hint="eastAsia" w:ascii="仿宋_GB2312" w:hAnsi="仿宋" w:eastAsia="仿宋_GB2312"/>
                <w:szCs w:val="21"/>
              </w:rPr>
              <w:t>原样/</w:t>
            </w:r>
          </w:p>
          <w:p>
            <w:pPr>
              <w:pStyle w:val="5"/>
              <w:spacing w:before="78" w:after="109" w:line="300" w:lineRule="exact"/>
              <w:jc w:val="center"/>
              <w:rPr>
                <w:rFonts w:ascii="仿宋_GB2312" w:hAnsi="仿宋" w:eastAsia="仿宋_GB2312"/>
              </w:rPr>
            </w:pPr>
            <w:r>
              <w:rPr>
                <w:rFonts w:hint="eastAsia" w:ascii="仿宋_GB2312" w:hAnsi="仿宋" w:eastAsia="仿宋_GB2312"/>
                <w:szCs w:val="21"/>
              </w:rPr>
              <w:t>备样</w:t>
            </w:r>
            <w:r>
              <w:rPr>
                <w:rFonts w:hint="eastAsia" w:ascii="仿宋_GB2312" w:hAnsi="仿宋" w:eastAsia="仿宋_GB2312"/>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4"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4</w:t>
            </w:r>
          </w:p>
        </w:tc>
        <w:tc>
          <w:tcPr>
            <w:tcW w:w="13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耐温性能</w:t>
            </w:r>
          </w:p>
        </w:tc>
        <w:tc>
          <w:tcPr>
            <w:tcW w:w="2126"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ascii="仿宋_GB2312" w:hAnsi="仿宋" w:eastAsia="仿宋_GB2312" w:cs="宋体"/>
                <w:sz w:val="24"/>
              </w:rPr>
              <w:t>GB/T</w:t>
            </w:r>
            <w:r>
              <w:rPr>
                <w:rFonts w:hint="eastAsia" w:ascii="仿宋_GB2312" w:hAnsi="仿宋" w:eastAsia="仿宋_GB2312" w:cs="宋体"/>
                <w:sz w:val="24"/>
              </w:rPr>
              <w:t xml:space="preserve"> </w:t>
            </w:r>
            <w:r>
              <w:rPr>
                <w:rFonts w:ascii="仿宋_GB2312" w:hAnsi="仿宋" w:eastAsia="仿宋_GB2312" w:cs="宋体"/>
                <w:sz w:val="24"/>
              </w:rPr>
              <w:t>28797-2012</w:t>
            </w:r>
          </w:p>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5.4.1</w:t>
            </w:r>
          </w:p>
        </w:tc>
        <w:tc>
          <w:tcPr>
            <w:tcW w:w="1276" w:type="dxa"/>
            <w:noWrap w:val="0"/>
            <w:vAlign w:val="center"/>
          </w:tcPr>
          <w:p>
            <w:pPr>
              <w:jc w:val="center"/>
            </w:pPr>
            <w:r>
              <w:rPr>
                <w:rFonts w:hint="eastAsia" w:ascii="仿宋_GB2312" w:hAnsi="仿宋" w:eastAsia="仿宋_GB2312" w:cs="宋体"/>
                <w:sz w:val="24"/>
              </w:rPr>
              <w:t>推荐性</w:t>
            </w:r>
          </w:p>
        </w:tc>
        <w:tc>
          <w:tcPr>
            <w:tcW w:w="2126"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ascii="仿宋_GB2312" w:hAnsi="仿宋" w:eastAsia="仿宋_GB2312" w:cs="宋体"/>
                <w:sz w:val="24"/>
              </w:rPr>
              <w:t>GB/T</w:t>
            </w:r>
            <w:r>
              <w:rPr>
                <w:rFonts w:hint="eastAsia" w:ascii="仿宋_GB2312" w:hAnsi="仿宋" w:eastAsia="仿宋_GB2312" w:cs="宋体"/>
                <w:sz w:val="24"/>
              </w:rPr>
              <w:t xml:space="preserve"> </w:t>
            </w:r>
            <w:r>
              <w:rPr>
                <w:rFonts w:ascii="仿宋_GB2312" w:hAnsi="仿宋" w:eastAsia="仿宋_GB2312" w:cs="宋体"/>
                <w:sz w:val="24"/>
              </w:rPr>
              <w:t>28797-2012</w:t>
            </w:r>
          </w:p>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6.4</w:t>
            </w:r>
          </w:p>
        </w:tc>
        <w:tc>
          <w:tcPr>
            <w:tcW w:w="1666" w:type="dxa"/>
            <w:noWrap w:val="0"/>
            <w:vAlign w:val="center"/>
          </w:tcPr>
          <w:p>
            <w:pPr>
              <w:pStyle w:val="8"/>
              <w:adjustRightInd w:val="0"/>
              <w:snapToGrid w:val="0"/>
              <w:spacing w:line="320" w:lineRule="exact"/>
              <w:jc w:val="center"/>
              <w:rPr>
                <w:rFonts w:ascii="仿宋_GB2312" w:hAnsi="仿宋" w:eastAsia="仿宋_GB2312"/>
                <w:szCs w:val="21"/>
              </w:rPr>
            </w:pPr>
            <w:r>
              <w:rPr>
                <w:rFonts w:hint="eastAsia" w:ascii="仿宋_GB2312" w:hAnsi="仿宋" w:eastAsia="仿宋_GB2312"/>
                <w:szCs w:val="21"/>
              </w:rPr>
              <w:t>原样/</w:t>
            </w:r>
          </w:p>
          <w:p>
            <w:pPr>
              <w:pStyle w:val="5"/>
              <w:spacing w:before="78" w:after="109" w:line="300" w:lineRule="exact"/>
              <w:jc w:val="center"/>
              <w:rPr>
                <w:rFonts w:ascii="仿宋_GB2312" w:hAnsi="仿宋" w:eastAsia="仿宋_GB2312"/>
              </w:rPr>
            </w:pPr>
            <w:r>
              <w:rPr>
                <w:rFonts w:hint="eastAsia" w:ascii="仿宋_GB2312" w:hAnsi="仿宋" w:eastAsia="仿宋_GB2312"/>
                <w:szCs w:val="21"/>
              </w:rPr>
              <w:t>备样</w:t>
            </w:r>
            <w:r>
              <w:rPr>
                <w:rFonts w:hint="eastAsia" w:ascii="仿宋_GB2312" w:hAnsi="仿宋" w:eastAsia="仿宋_GB2312"/>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4"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5</w:t>
            </w:r>
          </w:p>
        </w:tc>
        <w:tc>
          <w:tcPr>
            <w:tcW w:w="13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操作性</w:t>
            </w:r>
          </w:p>
        </w:tc>
        <w:tc>
          <w:tcPr>
            <w:tcW w:w="2126"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ascii="仿宋_GB2312" w:hAnsi="仿宋" w:eastAsia="仿宋_GB2312" w:cs="宋体"/>
                <w:sz w:val="24"/>
              </w:rPr>
              <w:t>GB/T</w:t>
            </w:r>
            <w:r>
              <w:rPr>
                <w:rFonts w:hint="eastAsia" w:ascii="仿宋_GB2312" w:hAnsi="仿宋" w:eastAsia="仿宋_GB2312" w:cs="宋体"/>
                <w:sz w:val="24"/>
              </w:rPr>
              <w:t xml:space="preserve"> </w:t>
            </w:r>
            <w:r>
              <w:rPr>
                <w:rFonts w:ascii="仿宋_GB2312" w:hAnsi="仿宋" w:eastAsia="仿宋_GB2312" w:cs="宋体"/>
                <w:sz w:val="24"/>
              </w:rPr>
              <w:t>28797-2012</w:t>
            </w:r>
          </w:p>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5.4.2</w:t>
            </w:r>
          </w:p>
        </w:tc>
        <w:tc>
          <w:tcPr>
            <w:tcW w:w="1276" w:type="dxa"/>
            <w:noWrap w:val="0"/>
            <w:vAlign w:val="center"/>
          </w:tcPr>
          <w:p>
            <w:pPr>
              <w:jc w:val="center"/>
            </w:pPr>
            <w:r>
              <w:rPr>
                <w:rFonts w:hint="eastAsia" w:ascii="仿宋_GB2312" w:hAnsi="仿宋" w:eastAsia="仿宋_GB2312" w:cs="宋体"/>
                <w:sz w:val="24"/>
              </w:rPr>
              <w:t>推荐性</w:t>
            </w:r>
          </w:p>
        </w:tc>
        <w:tc>
          <w:tcPr>
            <w:tcW w:w="2126"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ascii="仿宋_GB2312" w:hAnsi="仿宋" w:eastAsia="仿宋_GB2312" w:cs="宋体"/>
                <w:sz w:val="24"/>
              </w:rPr>
              <w:t>GB/T</w:t>
            </w:r>
            <w:r>
              <w:rPr>
                <w:rFonts w:hint="eastAsia" w:ascii="仿宋_GB2312" w:hAnsi="仿宋" w:eastAsia="仿宋_GB2312" w:cs="宋体"/>
                <w:sz w:val="24"/>
              </w:rPr>
              <w:t xml:space="preserve"> </w:t>
            </w:r>
            <w:r>
              <w:rPr>
                <w:rFonts w:ascii="仿宋_GB2312" w:hAnsi="仿宋" w:eastAsia="仿宋_GB2312" w:cs="宋体"/>
                <w:sz w:val="24"/>
              </w:rPr>
              <w:t>28797-2012</w:t>
            </w:r>
          </w:p>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6.5</w:t>
            </w:r>
          </w:p>
        </w:tc>
        <w:tc>
          <w:tcPr>
            <w:tcW w:w="1666" w:type="dxa"/>
            <w:noWrap w:val="0"/>
            <w:vAlign w:val="center"/>
          </w:tcPr>
          <w:p>
            <w:pPr>
              <w:pStyle w:val="8"/>
              <w:adjustRightInd w:val="0"/>
              <w:snapToGrid w:val="0"/>
              <w:spacing w:line="320" w:lineRule="exact"/>
              <w:jc w:val="center"/>
              <w:rPr>
                <w:rFonts w:ascii="仿宋_GB2312" w:hAnsi="仿宋" w:eastAsia="仿宋_GB2312"/>
                <w:szCs w:val="21"/>
              </w:rPr>
            </w:pPr>
            <w:r>
              <w:rPr>
                <w:rFonts w:hint="eastAsia" w:ascii="仿宋_GB2312" w:hAnsi="仿宋" w:eastAsia="仿宋_GB2312"/>
                <w:szCs w:val="21"/>
              </w:rPr>
              <w:t>原样/</w:t>
            </w:r>
          </w:p>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szCs w:val="21"/>
              </w:rPr>
              <w:t>备样</w:t>
            </w:r>
            <w:r>
              <w:rPr>
                <w:rFonts w:hint="eastAsia" w:ascii="仿宋_GB2312" w:hAnsi="仿宋" w:eastAsia="仿宋_GB2312" w:cs="宋体"/>
                <w:sz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4"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6</w:t>
            </w:r>
          </w:p>
        </w:tc>
        <w:tc>
          <w:tcPr>
            <w:tcW w:w="13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盛装性能</w:t>
            </w:r>
          </w:p>
        </w:tc>
        <w:tc>
          <w:tcPr>
            <w:tcW w:w="2126"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ascii="仿宋_GB2312" w:hAnsi="仿宋" w:eastAsia="仿宋_GB2312" w:cs="宋体"/>
                <w:sz w:val="24"/>
              </w:rPr>
              <w:t>GB/T</w:t>
            </w:r>
            <w:r>
              <w:rPr>
                <w:rFonts w:hint="eastAsia" w:ascii="仿宋_GB2312" w:hAnsi="仿宋" w:eastAsia="仿宋_GB2312" w:cs="宋体"/>
                <w:sz w:val="24"/>
              </w:rPr>
              <w:t xml:space="preserve"> </w:t>
            </w:r>
            <w:r>
              <w:rPr>
                <w:rFonts w:ascii="仿宋_GB2312" w:hAnsi="仿宋" w:eastAsia="仿宋_GB2312" w:cs="宋体"/>
                <w:sz w:val="24"/>
              </w:rPr>
              <w:t>28797-2012</w:t>
            </w:r>
          </w:p>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5.4.3</w:t>
            </w:r>
          </w:p>
        </w:tc>
        <w:tc>
          <w:tcPr>
            <w:tcW w:w="1276" w:type="dxa"/>
            <w:noWrap w:val="0"/>
            <w:vAlign w:val="center"/>
          </w:tcPr>
          <w:p>
            <w:pPr>
              <w:jc w:val="center"/>
              <w:rPr>
                <w:rFonts w:ascii="仿宋_GB2312" w:hAnsi="仿宋" w:eastAsia="仿宋_GB2312" w:cs="宋体"/>
                <w:sz w:val="24"/>
              </w:rPr>
            </w:pPr>
            <w:r>
              <w:rPr>
                <w:rFonts w:hint="eastAsia" w:ascii="仿宋_GB2312" w:hAnsi="仿宋" w:eastAsia="仿宋_GB2312" w:cs="宋体"/>
                <w:sz w:val="24"/>
              </w:rPr>
              <w:t>推荐性</w:t>
            </w:r>
          </w:p>
        </w:tc>
        <w:tc>
          <w:tcPr>
            <w:tcW w:w="2126"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ascii="仿宋_GB2312" w:hAnsi="仿宋" w:eastAsia="仿宋_GB2312" w:cs="宋体"/>
                <w:sz w:val="24"/>
              </w:rPr>
              <w:t>GB/T</w:t>
            </w:r>
            <w:r>
              <w:rPr>
                <w:rFonts w:hint="eastAsia" w:ascii="仿宋_GB2312" w:hAnsi="仿宋" w:eastAsia="仿宋_GB2312" w:cs="宋体"/>
                <w:sz w:val="24"/>
              </w:rPr>
              <w:t xml:space="preserve"> </w:t>
            </w:r>
            <w:r>
              <w:rPr>
                <w:rFonts w:ascii="仿宋_GB2312" w:hAnsi="仿宋" w:eastAsia="仿宋_GB2312" w:cs="宋体"/>
                <w:sz w:val="24"/>
              </w:rPr>
              <w:t>28797-2012</w:t>
            </w:r>
          </w:p>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6.6</w:t>
            </w:r>
          </w:p>
        </w:tc>
        <w:tc>
          <w:tcPr>
            <w:tcW w:w="1666" w:type="dxa"/>
            <w:noWrap w:val="0"/>
            <w:vAlign w:val="center"/>
          </w:tcPr>
          <w:p>
            <w:pPr>
              <w:pStyle w:val="8"/>
              <w:adjustRightInd w:val="0"/>
              <w:snapToGrid w:val="0"/>
              <w:spacing w:line="320" w:lineRule="exact"/>
              <w:jc w:val="center"/>
              <w:rPr>
                <w:rFonts w:ascii="仿宋_GB2312" w:hAnsi="仿宋" w:eastAsia="仿宋_GB2312"/>
                <w:szCs w:val="21"/>
              </w:rPr>
            </w:pPr>
            <w:r>
              <w:rPr>
                <w:rFonts w:hint="eastAsia" w:ascii="仿宋_GB2312" w:hAnsi="仿宋" w:eastAsia="仿宋_GB2312"/>
                <w:szCs w:val="21"/>
              </w:rPr>
              <w:t>原样/</w:t>
            </w:r>
          </w:p>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szCs w:val="21"/>
              </w:rPr>
              <w:t>备样</w:t>
            </w:r>
            <w:r>
              <w:rPr>
                <w:rFonts w:hint="eastAsia" w:ascii="仿宋_GB2312" w:hAnsi="仿宋" w:eastAsia="仿宋_GB2312" w:cs="宋体"/>
                <w:sz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4"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7</w:t>
            </w:r>
          </w:p>
        </w:tc>
        <w:tc>
          <w:tcPr>
            <w:tcW w:w="13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提手强度</w:t>
            </w:r>
          </w:p>
        </w:tc>
        <w:tc>
          <w:tcPr>
            <w:tcW w:w="2126"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ascii="仿宋_GB2312" w:hAnsi="仿宋" w:eastAsia="仿宋_GB2312" w:cs="宋体"/>
                <w:sz w:val="24"/>
              </w:rPr>
              <w:t>GB/T</w:t>
            </w:r>
            <w:r>
              <w:rPr>
                <w:rFonts w:hint="eastAsia" w:ascii="仿宋_GB2312" w:hAnsi="仿宋" w:eastAsia="仿宋_GB2312" w:cs="宋体"/>
                <w:sz w:val="24"/>
              </w:rPr>
              <w:t xml:space="preserve"> </w:t>
            </w:r>
            <w:r>
              <w:rPr>
                <w:rFonts w:ascii="仿宋_GB2312" w:hAnsi="仿宋" w:eastAsia="仿宋_GB2312" w:cs="宋体"/>
                <w:sz w:val="24"/>
              </w:rPr>
              <w:t>28797-2012</w:t>
            </w:r>
          </w:p>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5.4.5</w:t>
            </w:r>
          </w:p>
        </w:tc>
        <w:tc>
          <w:tcPr>
            <w:tcW w:w="1276" w:type="dxa"/>
            <w:noWrap w:val="0"/>
            <w:vAlign w:val="center"/>
          </w:tcPr>
          <w:p>
            <w:pPr>
              <w:jc w:val="center"/>
            </w:pPr>
            <w:r>
              <w:rPr>
                <w:rFonts w:hint="eastAsia" w:ascii="仿宋_GB2312" w:hAnsi="仿宋" w:eastAsia="仿宋_GB2312" w:cs="宋体"/>
                <w:sz w:val="24"/>
              </w:rPr>
              <w:t>推荐性</w:t>
            </w:r>
          </w:p>
        </w:tc>
        <w:tc>
          <w:tcPr>
            <w:tcW w:w="2126"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ascii="仿宋_GB2312" w:hAnsi="仿宋" w:eastAsia="仿宋_GB2312" w:cs="宋体"/>
                <w:sz w:val="24"/>
              </w:rPr>
              <w:t>GB/T</w:t>
            </w:r>
            <w:r>
              <w:rPr>
                <w:rFonts w:hint="eastAsia" w:ascii="仿宋_GB2312" w:hAnsi="仿宋" w:eastAsia="仿宋_GB2312" w:cs="宋体"/>
                <w:sz w:val="24"/>
              </w:rPr>
              <w:t xml:space="preserve"> </w:t>
            </w:r>
            <w:r>
              <w:rPr>
                <w:rFonts w:ascii="仿宋_GB2312" w:hAnsi="仿宋" w:eastAsia="仿宋_GB2312" w:cs="宋体"/>
                <w:sz w:val="24"/>
              </w:rPr>
              <w:t>28797-2012</w:t>
            </w:r>
          </w:p>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6.8</w:t>
            </w:r>
          </w:p>
        </w:tc>
        <w:tc>
          <w:tcPr>
            <w:tcW w:w="1666" w:type="dxa"/>
            <w:noWrap w:val="0"/>
            <w:vAlign w:val="center"/>
          </w:tcPr>
          <w:p>
            <w:pPr>
              <w:pStyle w:val="8"/>
              <w:adjustRightInd w:val="0"/>
              <w:snapToGrid w:val="0"/>
              <w:spacing w:line="320" w:lineRule="exact"/>
              <w:jc w:val="center"/>
              <w:rPr>
                <w:rFonts w:ascii="仿宋_GB2312" w:hAnsi="仿宋" w:eastAsia="仿宋_GB2312"/>
                <w:szCs w:val="21"/>
              </w:rPr>
            </w:pPr>
            <w:r>
              <w:rPr>
                <w:rFonts w:hint="eastAsia" w:ascii="仿宋_GB2312" w:hAnsi="仿宋" w:eastAsia="仿宋_GB2312"/>
                <w:szCs w:val="21"/>
              </w:rPr>
              <w:t>原样/</w:t>
            </w:r>
          </w:p>
          <w:p>
            <w:pPr>
              <w:pStyle w:val="5"/>
              <w:spacing w:before="78" w:after="109" w:line="300" w:lineRule="exact"/>
              <w:jc w:val="center"/>
              <w:rPr>
                <w:rFonts w:ascii="仿宋_GB2312" w:hAnsi="仿宋" w:eastAsia="仿宋_GB2312"/>
                <w:kern w:val="2"/>
              </w:rPr>
            </w:pPr>
            <w:r>
              <w:rPr>
                <w:rFonts w:hint="eastAsia" w:ascii="仿宋_GB2312" w:hAnsi="仿宋" w:eastAsia="仿宋_GB2312"/>
                <w:szCs w:val="21"/>
              </w:rPr>
              <w:t>备样</w:t>
            </w:r>
            <w:r>
              <w:rPr>
                <w:rFonts w:hint="eastAsia" w:ascii="仿宋_GB2312" w:hAnsi="仿宋" w:eastAsia="仿宋_GB2312"/>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4"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8</w:t>
            </w:r>
          </w:p>
        </w:tc>
        <w:tc>
          <w:tcPr>
            <w:tcW w:w="13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内桶跌落性能</w:t>
            </w:r>
          </w:p>
        </w:tc>
        <w:tc>
          <w:tcPr>
            <w:tcW w:w="2126"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ascii="仿宋_GB2312" w:hAnsi="仿宋" w:eastAsia="仿宋_GB2312" w:cs="宋体"/>
                <w:sz w:val="24"/>
              </w:rPr>
              <w:t>GB/T</w:t>
            </w:r>
            <w:r>
              <w:rPr>
                <w:rFonts w:hint="eastAsia" w:ascii="仿宋_GB2312" w:hAnsi="仿宋" w:eastAsia="仿宋_GB2312" w:cs="宋体"/>
                <w:sz w:val="24"/>
              </w:rPr>
              <w:t xml:space="preserve"> </w:t>
            </w:r>
            <w:r>
              <w:rPr>
                <w:rFonts w:ascii="仿宋_GB2312" w:hAnsi="仿宋" w:eastAsia="仿宋_GB2312" w:cs="宋体"/>
                <w:sz w:val="24"/>
              </w:rPr>
              <w:t>28797-2012</w:t>
            </w:r>
          </w:p>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5.4.7</w:t>
            </w:r>
          </w:p>
        </w:tc>
        <w:tc>
          <w:tcPr>
            <w:tcW w:w="1276" w:type="dxa"/>
            <w:noWrap w:val="0"/>
            <w:vAlign w:val="center"/>
          </w:tcPr>
          <w:p>
            <w:pPr>
              <w:jc w:val="center"/>
            </w:pPr>
            <w:r>
              <w:rPr>
                <w:rFonts w:hint="eastAsia" w:ascii="仿宋_GB2312" w:hAnsi="仿宋" w:eastAsia="仿宋_GB2312" w:cs="宋体"/>
                <w:sz w:val="24"/>
              </w:rPr>
              <w:t>推荐性</w:t>
            </w:r>
          </w:p>
        </w:tc>
        <w:tc>
          <w:tcPr>
            <w:tcW w:w="2126"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ascii="仿宋_GB2312" w:hAnsi="仿宋" w:eastAsia="仿宋_GB2312" w:cs="宋体"/>
                <w:sz w:val="24"/>
              </w:rPr>
              <w:t>GB/T</w:t>
            </w:r>
            <w:r>
              <w:rPr>
                <w:rFonts w:hint="eastAsia" w:ascii="仿宋_GB2312" w:hAnsi="仿宋" w:eastAsia="仿宋_GB2312" w:cs="宋体"/>
                <w:sz w:val="24"/>
              </w:rPr>
              <w:t xml:space="preserve"> </w:t>
            </w:r>
            <w:r>
              <w:rPr>
                <w:rFonts w:ascii="仿宋_GB2312" w:hAnsi="仿宋" w:eastAsia="仿宋_GB2312" w:cs="宋体"/>
                <w:sz w:val="24"/>
              </w:rPr>
              <w:t>28797-2012</w:t>
            </w:r>
          </w:p>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6.10</w:t>
            </w:r>
          </w:p>
        </w:tc>
        <w:tc>
          <w:tcPr>
            <w:tcW w:w="1666" w:type="dxa"/>
            <w:noWrap w:val="0"/>
            <w:vAlign w:val="center"/>
          </w:tcPr>
          <w:p>
            <w:pPr>
              <w:pStyle w:val="8"/>
              <w:adjustRightInd w:val="0"/>
              <w:snapToGrid w:val="0"/>
              <w:spacing w:line="320" w:lineRule="exact"/>
              <w:jc w:val="center"/>
              <w:rPr>
                <w:rFonts w:ascii="仿宋_GB2312" w:hAnsi="仿宋" w:eastAsia="仿宋_GB2312"/>
                <w:szCs w:val="21"/>
              </w:rPr>
            </w:pPr>
            <w:r>
              <w:rPr>
                <w:rFonts w:hint="eastAsia" w:ascii="仿宋_GB2312" w:hAnsi="仿宋" w:eastAsia="仿宋_GB2312"/>
                <w:szCs w:val="21"/>
              </w:rPr>
              <w:t>原样/</w:t>
            </w:r>
          </w:p>
          <w:p>
            <w:pPr>
              <w:pStyle w:val="5"/>
              <w:spacing w:before="78" w:after="109" w:line="300" w:lineRule="exact"/>
              <w:jc w:val="center"/>
              <w:rPr>
                <w:rFonts w:ascii="仿宋_GB2312" w:hAnsi="仿宋" w:eastAsia="仿宋_GB2312"/>
              </w:rPr>
            </w:pPr>
            <w:r>
              <w:rPr>
                <w:rFonts w:hint="eastAsia" w:ascii="仿宋_GB2312" w:hAnsi="仿宋" w:eastAsia="仿宋_GB2312"/>
                <w:szCs w:val="21"/>
              </w:rPr>
              <w:t>备样</w:t>
            </w:r>
            <w:r>
              <w:rPr>
                <w:rFonts w:hint="eastAsia" w:ascii="仿宋_GB2312" w:hAnsi="仿宋" w:eastAsia="仿宋_GB2312"/>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34"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9</w:t>
            </w:r>
          </w:p>
        </w:tc>
        <w:tc>
          <w:tcPr>
            <w:tcW w:w="135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标志</w:t>
            </w:r>
          </w:p>
        </w:tc>
        <w:tc>
          <w:tcPr>
            <w:tcW w:w="2126"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ascii="仿宋_GB2312" w:hAnsi="仿宋" w:eastAsia="仿宋_GB2312" w:cs="宋体"/>
                <w:sz w:val="24"/>
              </w:rPr>
              <w:t>GB/T</w:t>
            </w:r>
            <w:r>
              <w:rPr>
                <w:rFonts w:hint="eastAsia" w:ascii="仿宋_GB2312" w:hAnsi="仿宋" w:eastAsia="仿宋_GB2312" w:cs="宋体"/>
                <w:sz w:val="24"/>
              </w:rPr>
              <w:t xml:space="preserve"> </w:t>
            </w:r>
            <w:r>
              <w:rPr>
                <w:rFonts w:ascii="仿宋_GB2312" w:hAnsi="仿宋" w:eastAsia="仿宋_GB2312" w:cs="宋体"/>
                <w:sz w:val="24"/>
              </w:rPr>
              <w:t>28797-2012</w:t>
            </w:r>
          </w:p>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8.1</w:t>
            </w:r>
          </w:p>
        </w:tc>
        <w:tc>
          <w:tcPr>
            <w:tcW w:w="1276" w:type="dxa"/>
            <w:noWrap w:val="0"/>
            <w:vAlign w:val="center"/>
          </w:tcPr>
          <w:p>
            <w:pPr>
              <w:jc w:val="center"/>
            </w:pPr>
            <w:r>
              <w:rPr>
                <w:rFonts w:hint="eastAsia" w:ascii="仿宋_GB2312" w:hAnsi="仿宋" w:eastAsia="仿宋_GB2312" w:cs="宋体"/>
                <w:sz w:val="24"/>
              </w:rPr>
              <w:t>推荐性</w:t>
            </w:r>
          </w:p>
        </w:tc>
        <w:tc>
          <w:tcPr>
            <w:tcW w:w="2126" w:type="dxa"/>
            <w:noWrap w:val="0"/>
            <w:vAlign w:val="center"/>
          </w:tcPr>
          <w:p>
            <w:pPr>
              <w:spacing w:before="100" w:beforeAutospacing="1" w:after="100" w:afterAutospacing="1" w:line="300" w:lineRule="exact"/>
              <w:jc w:val="center"/>
              <w:rPr>
                <w:rFonts w:ascii="仿宋_GB2312" w:hAnsi="仿宋" w:eastAsia="仿宋_GB2312" w:cs="宋体"/>
                <w:sz w:val="24"/>
              </w:rPr>
            </w:pPr>
            <w:r>
              <w:rPr>
                <w:rFonts w:hint="eastAsia" w:ascii="仿宋_GB2312" w:hAnsi="仿宋" w:eastAsia="仿宋_GB2312" w:cs="宋体"/>
                <w:sz w:val="24"/>
              </w:rPr>
              <w:t>目测检查</w:t>
            </w:r>
          </w:p>
        </w:tc>
        <w:tc>
          <w:tcPr>
            <w:tcW w:w="1666" w:type="dxa"/>
            <w:noWrap w:val="0"/>
            <w:vAlign w:val="center"/>
          </w:tcPr>
          <w:p>
            <w:pPr>
              <w:pStyle w:val="8"/>
              <w:adjustRightInd w:val="0"/>
              <w:snapToGrid w:val="0"/>
              <w:spacing w:line="320" w:lineRule="exact"/>
              <w:jc w:val="center"/>
              <w:rPr>
                <w:rFonts w:ascii="仿宋_GB2312" w:hAnsi="仿宋" w:eastAsia="仿宋_GB2312"/>
                <w:szCs w:val="21"/>
              </w:rPr>
            </w:pPr>
            <w:r>
              <w:rPr>
                <w:rFonts w:hint="eastAsia" w:ascii="仿宋_GB2312" w:hAnsi="仿宋" w:eastAsia="仿宋_GB2312"/>
                <w:szCs w:val="21"/>
              </w:rPr>
              <w:t>原样/</w:t>
            </w:r>
          </w:p>
          <w:p>
            <w:pPr>
              <w:pStyle w:val="5"/>
              <w:spacing w:before="78" w:after="109" w:line="300" w:lineRule="exact"/>
              <w:jc w:val="center"/>
              <w:rPr>
                <w:rFonts w:ascii="仿宋_GB2312" w:hAnsi="仿宋" w:eastAsia="仿宋_GB2312"/>
              </w:rPr>
            </w:pPr>
            <w:r>
              <w:rPr>
                <w:rFonts w:hint="eastAsia" w:ascii="仿宋_GB2312" w:hAnsi="仿宋" w:eastAsia="仿宋_GB2312"/>
                <w:szCs w:val="21"/>
              </w:rPr>
              <w:t>备样</w:t>
            </w:r>
            <w:r>
              <w:rPr>
                <w:rFonts w:hint="eastAsia" w:ascii="仿宋_GB2312" w:hAnsi="仿宋" w:eastAsia="仿宋_GB2312"/>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79" w:type="dxa"/>
            <w:gridSpan w:val="6"/>
            <w:noWrap w:val="0"/>
            <w:vAlign w:val="center"/>
          </w:tcPr>
          <w:p>
            <w:pPr>
              <w:snapToGrid w:val="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注：</w:t>
            </w:r>
          </w:p>
          <w:p>
            <w:pPr>
              <w:pStyle w:val="8"/>
              <w:adjustRightInd w:val="0"/>
              <w:snapToGrid w:val="0"/>
              <w:spacing w:line="320" w:lineRule="exact"/>
              <w:jc w:val="left"/>
              <w:rPr>
                <w:rFonts w:ascii="仿宋_GB2312" w:hAnsi="仿宋" w:eastAsia="仿宋_GB2312"/>
                <w:szCs w:val="21"/>
              </w:rPr>
            </w:pPr>
            <w:r>
              <w:rPr>
                <w:rFonts w:hint="eastAsia" w:ascii="仿宋_GB2312" w:hAnsi="仿宋" w:eastAsia="仿宋_GB2312"/>
                <w:sz w:val="24"/>
              </w:rPr>
              <w:t>1.</w:t>
            </w:r>
            <w:r>
              <w:rPr>
                <w:rFonts w:ascii="仿宋_GB2312" w:hAnsi="仿宋" w:eastAsia="仿宋_GB2312"/>
                <w:sz w:val="24"/>
              </w:rPr>
              <w:t>原则上用原样复检，当原样样本量不足时则用备样复检</w:t>
            </w:r>
            <w:r>
              <w:rPr>
                <w:rFonts w:hint="eastAsia" w:ascii="仿宋_GB2312" w:hAnsi="仿宋" w:eastAsia="仿宋_GB2312"/>
                <w:sz w:val="24"/>
              </w:rPr>
              <w:t>。</w:t>
            </w:r>
          </w:p>
        </w:tc>
      </w:tr>
    </w:tbl>
    <w:p>
      <w:pPr>
        <w:snapToGrid w:val="0"/>
        <w:spacing w:line="540" w:lineRule="exact"/>
        <w:rPr>
          <w:rFonts w:ascii="仿宋_GB2312" w:eastAsia="仿宋_GB2312" w:cs="Sim Sun"/>
          <w:b/>
          <w:kern w:val="0"/>
          <w:sz w:val="28"/>
          <w:szCs w:val="28"/>
        </w:rPr>
      </w:pPr>
    </w:p>
    <w:p>
      <w:pPr>
        <w:snapToGrid w:val="0"/>
        <w:spacing w:line="540" w:lineRule="exact"/>
        <w:rPr>
          <w:rFonts w:ascii="仿宋_GB2312" w:hAnsi="宋体" w:eastAsia="仿宋_GB2312"/>
          <w:b/>
          <w:sz w:val="28"/>
          <w:szCs w:val="28"/>
        </w:rPr>
      </w:pPr>
      <w:r>
        <w:rPr>
          <w:rFonts w:hint="eastAsia" w:ascii="仿宋_GB2312" w:eastAsia="仿宋_GB2312" w:cs="Sim Sun"/>
          <w:b/>
          <w:kern w:val="0"/>
          <w:sz w:val="28"/>
          <w:szCs w:val="28"/>
        </w:rPr>
        <w:t>6.</w:t>
      </w:r>
      <w:r>
        <w:rPr>
          <w:rFonts w:ascii="仿宋_GB2312" w:eastAsia="仿宋_GB2312" w:cs="Sim Sun"/>
          <w:b/>
          <w:kern w:val="0"/>
          <w:sz w:val="28"/>
          <w:szCs w:val="28"/>
        </w:rPr>
        <w:t>2</w:t>
      </w:r>
      <w:r>
        <w:rPr>
          <w:rFonts w:hint="eastAsia" w:ascii="仿宋_GB2312" w:eastAsia="仿宋_GB2312" w:cs="Sim Sun"/>
          <w:b/>
          <w:kern w:val="0"/>
          <w:sz w:val="28"/>
          <w:szCs w:val="28"/>
        </w:rPr>
        <w:t xml:space="preserve"> 检验应注意的问题</w:t>
      </w:r>
    </w:p>
    <w:p>
      <w:pPr>
        <w:snapToGrid w:val="0"/>
        <w:spacing w:line="540" w:lineRule="exact"/>
        <w:rPr>
          <w:rFonts w:ascii="仿宋_GB2312" w:eastAsia="仿宋_GB2312" w:cs="Sim Sun"/>
          <w:kern w:val="0"/>
          <w:sz w:val="28"/>
          <w:szCs w:val="28"/>
        </w:rPr>
      </w:pPr>
      <w:r>
        <w:rPr>
          <w:rFonts w:hint="eastAsia" w:ascii="仿宋_GB2312" w:eastAsia="仿宋_GB2312" w:cs="Sim Sun"/>
          <w:b/>
          <w:kern w:val="0"/>
          <w:sz w:val="28"/>
          <w:szCs w:val="28"/>
        </w:rPr>
        <w:t>6.2.1</w:t>
      </w:r>
      <w:r>
        <w:rPr>
          <w:rFonts w:hint="eastAsia" w:ascii="仿宋_GB2312" w:eastAsia="仿宋_GB2312" w:cs="Sim Sun"/>
          <w:kern w:val="0"/>
          <w:sz w:val="28"/>
          <w:szCs w:val="28"/>
        </w:rPr>
        <w:t>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sz w:val="28"/>
          <w:szCs w:val="28"/>
        </w:rPr>
        <w:t>备用</w:t>
      </w:r>
      <w:r>
        <w:rPr>
          <w:rFonts w:hint="eastAsia" w:ascii="仿宋_GB2312" w:hAnsi="宋体" w:eastAsia="仿宋_GB2312"/>
          <w:iCs/>
          <w:sz w:val="28"/>
          <w:szCs w:val="28"/>
        </w:rPr>
        <w:t>样品应该贮存在阴凉、干燥、安全、避光处，在整个保存期间应保证签封完整无损。</w:t>
      </w:r>
    </w:p>
    <w:p>
      <w:pPr>
        <w:snapToGrid w:val="0"/>
        <w:spacing w:line="540" w:lineRule="exact"/>
        <w:rPr>
          <w:rFonts w:ascii="仿宋_GB2312" w:eastAsia="仿宋_GB2312" w:cs="Sim Sun"/>
          <w:kern w:val="0"/>
          <w:sz w:val="28"/>
          <w:szCs w:val="28"/>
        </w:rPr>
      </w:pPr>
      <w:r>
        <w:rPr>
          <w:rFonts w:hint="eastAsia" w:ascii="仿宋_GB2312" w:eastAsia="仿宋_GB2312" w:cs="Sim Sun"/>
          <w:b/>
          <w:kern w:val="0"/>
          <w:sz w:val="28"/>
          <w:szCs w:val="28"/>
        </w:rPr>
        <w:t>6.2.2</w:t>
      </w:r>
      <w:r>
        <w:rPr>
          <w:rFonts w:hint="eastAsia" w:ascii="仿宋_GB2312" w:eastAsia="仿宋_GB2312" w:cs="Sim Sun"/>
          <w:kern w:val="0"/>
          <w:sz w:val="28"/>
          <w:szCs w:val="28"/>
        </w:rPr>
        <w:t>若被检产品明示的质量要求高于或包含本规范中检验项目依据的标准要求时，应按被检产品明示的质量要求判定。</w:t>
      </w:r>
    </w:p>
    <w:p>
      <w:pPr>
        <w:snapToGrid w:val="0"/>
        <w:spacing w:line="540" w:lineRule="exact"/>
        <w:rPr>
          <w:rFonts w:ascii="仿宋_GB2312" w:eastAsia="仿宋_GB2312" w:cs="Sim Sun"/>
          <w:kern w:val="0"/>
          <w:sz w:val="28"/>
          <w:szCs w:val="28"/>
        </w:rPr>
      </w:pPr>
      <w:r>
        <w:rPr>
          <w:rFonts w:hint="eastAsia" w:ascii="仿宋_GB2312" w:eastAsia="仿宋_GB2312" w:cs="Sim Sun"/>
          <w:b/>
          <w:kern w:val="0"/>
          <w:sz w:val="28"/>
          <w:szCs w:val="28"/>
        </w:rPr>
        <w:t xml:space="preserve">6.2.3 </w:t>
      </w:r>
      <w:r>
        <w:rPr>
          <w:rFonts w:hint="eastAsia" w:ascii="仿宋_GB2312" w:eastAsia="仿宋_GB2312" w:cs="Sim Sun"/>
          <w:kern w:val="0"/>
          <w:sz w:val="28"/>
          <w:szCs w:val="28"/>
        </w:rPr>
        <w:t>若被检产品明示的质量要求低于或缺少本规范中检验项目依据的强制性标准要求时，应按照强制性标准要求判定。</w:t>
      </w:r>
    </w:p>
    <w:p>
      <w:pPr>
        <w:spacing w:line="540" w:lineRule="exact"/>
        <w:rPr>
          <w:rFonts w:ascii="仿宋_GB2312" w:hAnsi="仿宋" w:eastAsia="仿宋_GB2312" w:cs="方正仿宋简体"/>
          <w:sz w:val="28"/>
          <w:szCs w:val="28"/>
        </w:rPr>
      </w:pPr>
      <w:r>
        <w:rPr>
          <w:rFonts w:hint="eastAsia" w:ascii="仿宋_GB2312" w:eastAsia="仿宋_GB2312" w:cs="Sim Sun"/>
          <w:b/>
          <w:kern w:val="0"/>
          <w:sz w:val="28"/>
          <w:szCs w:val="28"/>
        </w:rPr>
        <w:t xml:space="preserve">6.2.4 </w:t>
      </w:r>
      <w:r>
        <w:rPr>
          <w:rFonts w:hint="eastAsia" w:ascii="仿宋_GB2312" w:hAnsi="仿宋" w:eastAsia="仿宋_GB2312" w:cs="方正仿宋简体"/>
          <w:sz w:val="28"/>
          <w:szCs w:val="28"/>
        </w:rPr>
        <w:t>若被检产品明示的质量要求低于或包含规范中检验项目依据的推荐性标准要求时，应以被检产品明示的质量要求判定。</w:t>
      </w:r>
    </w:p>
    <w:p>
      <w:pPr>
        <w:spacing w:line="540" w:lineRule="exact"/>
        <w:rPr>
          <w:rFonts w:ascii="仿宋_GB2312" w:hAnsi="仿宋" w:eastAsia="仿宋_GB2312" w:cs="方正仿宋简体"/>
          <w:sz w:val="28"/>
          <w:szCs w:val="28"/>
        </w:rPr>
      </w:pPr>
      <w:r>
        <w:rPr>
          <w:rFonts w:hint="eastAsia" w:ascii="仿宋_GB2312" w:eastAsia="仿宋_GB2312" w:cs="Sim Sun"/>
          <w:b/>
          <w:kern w:val="0"/>
          <w:sz w:val="28"/>
          <w:szCs w:val="28"/>
        </w:rPr>
        <w:t xml:space="preserve">6.2.5 </w:t>
      </w:r>
      <w:r>
        <w:rPr>
          <w:rFonts w:hint="eastAsia" w:ascii="仿宋_GB2312" w:hAnsi="仿宋" w:eastAsia="仿宋_GB2312" w:cs="方正仿宋简体"/>
          <w:sz w:val="28"/>
          <w:szCs w:val="28"/>
        </w:rPr>
        <w:t>若被检产品明示的质量要求缺少本规范中检验项目依据的推荐性标准要求时，该项目不参与判定，但应在检验报告备注中进行说明。</w:t>
      </w:r>
    </w:p>
    <w:p>
      <w:pPr>
        <w:pStyle w:val="3"/>
      </w:pPr>
      <w:r>
        <w:rPr>
          <w:rFonts w:hint="eastAsia"/>
        </w:rPr>
        <w:t>7 判定原则</w:t>
      </w:r>
    </w:p>
    <w:p>
      <w:pPr>
        <w:snapToGrid w:val="0"/>
        <w:spacing w:line="360" w:lineRule="auto"/>
        <w:ind w:firstLine="560" w:firstLineChars="200"/>
        <w:rPr>
          <w:rFonts w:ascii="仿宋_GB2312" w:eastAsia="仿宋_GB2312" w:cs="Sim Sun"/>
          <w:kern w:val="0"/>
          <w:sz w:val="28"/>
          <w:szCs w:val="28"/>
        </w:rPr>
      </w:pPr>
      <w:r>
        <w:rPr>
          <w:rFonts w:hint="eastAsia" w:ascii="仿宋_GB2312" w:eastAsia="仿宋_GB2312" w:cs="Sim Sun"/>
          <w:kern w:val="0"/>
          <w:sz w:val="28"/>
          <w:szCs w:val="28"/>
        </w:rPr>
        <w:t>经检验，所检样品全部项目合格，判该产品本次监督检验结果合格；出现一项或一项以上项目不合格，判该产品本次监督检验结果不合格。</w:t>
      </w:r>
      <w:r>
        <w:rPr>
          <w:rFonts w:ascii="仿宋_GB2312" w:eastAsia="仿宋_GB2312" w:cs="Sim Sun"/>
          <w:kern w:val="0"/>
          <w:sz w:val="28"/>
          <w:szCs w:val="28"/>
        </w:rPr>
        <w:t>若产品明示质量要求不包含推荐性标准的项目时，</w:t>
      </w:r>
      <w:r>
        <w:rPr>
          <w:rFonts w:hint="eastAsia" w:ascii="仿宋_GB2312" w:eastAsia="仿宋_GB2312" w:cs="Sim Sun"/>
          <w:kern w:val="0"/>
          <w:sz w:val="28"/>
          <w:szCs w:val="28"/>
        </w:rPr>
        <w:t>则</w:t>
      </w:r>
      <w:r>
        <w:rPr>
          <w:rFonts w:ascii="仿宋_GB2312" w:eastAsia="仿宋_GB2312" w:cs="Sim Sun"/>
          <w:kern w:val="0"/>
          <w:sz w:val="28"/>
          <w:szCs w:val="28"/>
        </w:rPr>
        <w:t>仅</w:t>
      </w:r>
      <w:r>
        <w:rPr>
          <w:rFonts w:hint="eastAsia" w:ascii="仿宋_GB2312" w:eastAsia="仿宋_GB2312" w:cs="Sim Sun"/>
          <w:kern w:val="0"/>
          <w:sz w:val="28"/>
          <w:szCs w:val="28"/>
        </w:rPr>
        <w:t>对该项目</w:t>
      </w:r>
      <w:r>
        <w:rPr>
          <w:rFonts w:ascii="仿宋_GB2312" w:eastAsia="仿宋_GB2312" w:cs="Sim Sun"/>
          <w:kern w:val="0"/>
          <w:sz w:val="28"/>
          <w:szCs w:val="28"/>
        </w:rPr>
        <w:t>出实测值不参与判定</w:t>
      </w:r>
      <w:r>
        <w:rPr>
          <w:rFonts w:hint="eastAsia" w:ascii="仿宋_GB2312" w:eastAsia="仿宋_GB2312" w:cs="Sim Sun"/>
          <w:kern w:val="0"/>
          <w:sz w:val="28"/>
          <w:szCs w:val="28"/>
        </w:rPr>
        <w:t>（强制性项目除外）。</w:t>
      </w:r>
    </w:p>
    <w:p>
      <w:pPr>
        <w:pStyle w:val="3"/>
      </w:pPr>
      <w:r>
        <w:rPr>
          <w:rFonts w:hint="eastAsia"/>
        </w:rPr>
        <w:t>8 异议处理复检</w:t>
      </w:r>
    </w:p>
    <w:p>
      <w:pPr>
        <w:snapToGrid w:val="0"/>
        <w:spacing w:line="540" w:lineRule="exact"/>
        <w:rPr>
          <w:rFonts w:ascii="仿宋_GB2312" w:eastAsia="仿宋_GB2312" w:cs="Sim Sun"/>
          <w:iCs/>
          <w:kern w:val="0"/>
          <w:sz w:val="28"/>
          <w:szCs w:val="28"/>
        </w:rPr>
      </w:pPr>
      <w:r>
        <w:rPr>
          <w:rFonts w:hint="eastAsia" w:ascii="仿宋_GB2312" w:eastAsia="仿宋_GB2312" w:cs="Sim Sun"/>
          <w:b/>
          <w:iCs/>
          <w:kern w:val="0"/>
          <w:sz w:val="28"/>
          <w:szCs w:val="28"/>
        </w:rPr>
        <w:t xml:space="preserve">8.1 </w:t>
      </w:r>
      <w:r>
        <w:rPr>
          <w:rFonts w:hint="eastAsia" w:ascii="仿宋_GB2312" w:eastAsia="仿宋_GB2312" w:cs="Sim Sun"/>
          <w:iCs/>
          <w:kern w:val="0"/>
          <w:sz w:val="28"/>
          <w:szCs w:val="28"/>
        </w:rPr>
        <w:t>被抽查企业在收到检验结果，对结果有异议时，</w:t>
      </w:r>
      <w:r>
        <w:rPr>
          <w:rFonts w:ascii="仿宋_GB2312" w:eastAsia="仿宋_GB2312" w:cs="Sim Sun"/>
          <w:iCs/>
          <w:kern w:val="0"/>
          <w:sz w:val="28"/>
          <w:szCs w:val="28"/>
        </w:rPr>
        <w:t>可以自收到检验结果之日起15日内向</w:t>
      </w:r>
      <w:r>
        <w:rPr>
          <w:rFonts w:hint="eastAsia" w:ascii="仿宋_GB2312" w:eastAsia="仿宋_GB2312" w:cs="Sim Sun"/>
          <w:iCs/>
          <w:kern w:val="0"/>
          <w:sz w:val="28"/>
          <w:szCs w:val="28"/>
        </w:rPr>
        <w:t>深圳市市场监督管理局深汕监管局</w:t>
      </w:r>
      <w:r>
        <w:rPr>
          <w:rFonts w:ascii="仿宋_GB2312" w:eastAsia="仿宋_GB2312" w:cs="Sim Sun"/>
          <w:iCs/>
          <w:kern w:val="0"/>
          <w:sz w:val="28"/>
          <w:szCs w:val="28"/>
        </w:rPr>
        <w:t>提出书面复检申请。逾期未提出异议的，视为承认检验结果。</w:t>
      </w:r>
    </w:p>
    <w:p>
      <w:pPr>
        <w:snapToGrid w:val="0"/>
        <w:spacing w:line="540" w:lineRule="exact"/>
        <w:rPr>
          <w:rFonts w:ascii="仿宋_GB2312" w:eastAsia="仿宋_GB2312" w:cs="Sim Sun"/>
          <w:iCs/>
          <w:kern w:val="0"/>
          <w:sz w:val="28"/>
          <w:szCs w:val="28"/>
        </w:rPr>
      </w:pPr>
      <w:r>
        <w:rPr>
          <w:rFonts w:hint="eastAsia" w:ascii="仿宋_GB2312" w:eastAsia="仿宋_GB2312" w:cs="Sim Sun"/>
          <w:b/>
          <w:iCs/>
          <w:kern w:val="0"/>
          <w:sz w:val="28"/>
          <w:szCs w:val="28"/>
        </w:rPr>
        <w:t xml:space="preserve">8.2 </w:t>
      </w:r>
      <w:r>
        <w:rPr>
          <w:rFonts w:ascii="仿宋_GB2312" w:eastAsia="仿宋_GB2312" w:cs="Sim Sun"/>
          <w:iCs/>
          <w:kern w:val="0"/>
          <w:sz w:val="28"/>
          <w:szCs w:val="28"/>
        </w:rPr>
        <w:t>检验机构</w:t>
      </w:r>
      <w:r>
        <w:rPr>
          <w:rFonts w:hint="eastAsia" w:ascii="仿宋_GB2312" w:eastAsia="仿宋_GB2312" w:cs="Sim Sun"/>
          <w:iCs/>
          <w:kern w:val="0"/>
          <w:sz w:val="28"/>
          <w:szCs w:val="28"/>
        </w:rPr>
        <w:t>接到深圳市市场监督管理局深汕监管局的复检通知后</w:t>
      </w:r>
      <w:r>
        <w:rPr>
          <w:rFonts w:ascii="仿宋_GB2312" w:eastAsia="仿宋_GB2312" w:cs="Sim Sun"/>
          <w:iCs/>
          <w:kern w:val="0"/>
          <w:sz w:val="28"/>
          <w:szCs w:val="28"/>
        </w:rPr>
        <w:t>应当按原监督抽查方案</w:t>
      </w:r>
      <w:r>
        <w:rPr>
          <w:rFonts w:hint="eastAsia" w:ascii="仿宋_GB2312" w:eastAsia="仿宋_GB2312" w:cs="Sim Sun"/>
          <w:iCs/>
          <w:kern w:val="0"/>
          <w:sz w:val="28"/>
          <w:szCs w:val="28"/>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kern w:val="0"/>
          <w:sz w:val="28"/>
          <w:szCs w:val="28"/>
        </w:rPr>
        <w:t>的结论。</w:t>
      </w:r>
    </w:p>
    <w:p>
      <w:pPr>
        <w:snapToGrid w:val="0"/>
        <w:spacing w:line="540" w:lineRule="exact"/>
        <w:rPr>
          <w:rFonts w:ascii="仿宋_GB2312" w:eastAsia="仿宋_GB2312" w:cs="Sim Sun"/>
          <w:kern w:val="0"/>
          <w:sz w:val="28"/>
          <w:szCs w:val="28"/>
        </w:rPr>
      </w:pPr>
      <w:r>
        <w:rPr>
          <w:rFonts w:hint="eastAsia" w:ascii="仿宋_GB2312" w:eastAsia="仿宋_GB2312" w:cs="Sim Sun"/>
          <w:b/>
          <w:kern w:val="0"/>
          <w:sz w:val="28"/>
          <w:szCs w:val="28"/>
        </w:rPr>
        <w:t>8.</w:t>
      </w:r>
      <w:r>
        <w:rPr>
          <w:rFonts w:ascii="仿宋_GB2312" w:eastAsia="仿宋_GB2312" w:cs="Sim Sun"/>
          <w:b/>
          <w:kern w:val="0"/>
          <w:sz w:val="28"/>
          <w:szCs w:val="28"/>
        </w:rPr>
        <w:t>3</w:t>
      </w:r>
      <w:r>
        <w:rPr>
          <w:rFonts w:hint="eastAsia" w:ascii="仿宋_GB2312" w:eastAsia="仿宋_GB2312" w:cs="Sim Sun"/>
          <w:b/>
          <w:kern w:val="0"/>
          <w:sz w:val="28"/>
          <w:szCs w:val="28"/>
        </w:rPr>
        <w:t xml:space="preserve"> </w:t>
      </w:r>
      <w:r>
        <w:rPr>
          <w:rFonts w:ascii="仿宋_GB2312" w:eastAsia="仿宋_GB2312" w:cs="Sim Sun"/>
          <w:iCs/>
          <w:kern w:val="0"/>
          <w:sz w:val="28"/>
          <w:szCs w:val="28"/>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snapToGrid w:val="0"/>
        <w:spacing w:line="540" w:lineRule="exact"/>
        <w:rPr>
          <w:rFonts w:ascii="仿宋_GB2312" w:eastAsia="仿宋_GB2312" w:cs="Sim Sun"/>
          <w:kern w:val="0"/>
          <w:sz w:val="28"/>
          <w:szCs w:val="28"/>
        </w:rPr>
      </w:pPr>
      <w:r>
        <w:rPr>
          <w:rFonts w:hint="eastAsia" w:ascii="仿宋_GB2312" w:eastAsia="仿宋_GB2312" w:cs="Sim Sun"/>
          <w:b/>
          <w:kern w:val="0"/>
          <w:sz w:val="28"/>
          <w:szCs w:val="28"/>
        </w:rPr>
        <w:t xml:space="preserve">8.4 </w:t>
      </w:r>
      <w:r>
        <w:rPr>
          <w:rFonts w:hint="eastAsia" w:ascii="仿宋_GB2312" w:eastAsia="仿宋_GB2312" w:cs="Sim Sun"/>
          <w:kern w:val="0"/>
          <w:sz w:val="28"/>
          <w:szCs w:val="28"/>
        </w:rPr>
        <w:t>若复检机构与初检机构为同一家机构，则复检检验人员与初检检验人员不得为同一人（含审核人员）。</w:t>
      </w:r>
    </w:p>
    <w:p>
      <w:pPr>
        <w:snapToGrid w:val="0"/>
        <w:spacing w:line="540" w:lineRule="exact"/>
        <w:rPr>
          <w:rFonts w:ascii="仿宋_GB2312" w:eastAsia="仿宋_GB2312" w:cs="Sim Sun"/>
          <w:kern w:val="0"/>
          <w:sz w:val="28"/>
          <w:szCs w:val="28"/>
        </w:rPr>
      </w:pPr>
      <w:r>
        <w:rPr>
          <w:rFonts w:hint="eastAsia" w:ascii="仿宋_GB2312" w:eastAsia="仿宋_GB2312" w:cs="Sim Sun"/>
          <w:b/>
          <w:bCs/>
          <w:kern w:val="0"/>
          <w:sz w:val="28"/>
          <w:szCs w:val="28"/>
        </w:rPr>
        <w:t xml:space="preserve">8.5 </w:t>
      </w:r>
      <w:r>
        <w:rPr>
          <w:rFonts w:hint="eastAsia" w:ascii="仿宋_GB2312" w:eastAsia="仿宋_GB2312" w:cs="Sim Sun"/>
          <w:kern w:val="0"/>
          <w:sz w:val="28"/>
          <w:szCs w:val="28"/>
        </w:rPr>
        <w:t>需对不合格项目复验时，按6.1选择复检样品。</w:t>
      </w:r>
    </w:p>
    <w:p>
      <w:pPr>
        <w:snapToGrid w:val="0"/>
        <w:spacing w:line="540" w:lineRule="exact"/>
        <w:rPr>
          <w:rFonts w:ascii="仿宋_GB2312" w:eastAsia="仿宋_GB2312" w:cs="Sim Sun"/>
          <w:iCs/>
          <w:kern w:val="0"/>
          <w:sz w:val="28"/>
          <w:szCs w:val="28"/>
        </w:rPr>
      </w:pPr>
      <w:r>
        <w:rPr>
          <w:rFonts w:hint="eastAsia" w:ascii="仿宋_GB2312" w:eastAsia="仿宋_GB2312" w:cs="Sim Sun"/>
          <w:b/>
          <w:iCs/>
          <w:kern w:val="0"/>
          <w:sz w:val="28"/>
          <w:szCs w:val="28"/>
        </w:rPr>
        <w:t xml:space="preserve">8.6 </w:t>
      </w:r>
      <w:r>
        <w:rPr>
          <w:rFonts w:hint="eastAsia" w:ascii="仿宋_GB2312" w:eastAsia="仿宋_GB2312" w:cs="Sim Sun"/>
          <w:iCs/>
          <w:kern w:val="0"/>
          <w:sz w:val="28"/>
          <w:szCs w:val="28"/>
        </w:rPr>
        <w:t>深圳市市场监督管理局深汕监管局根据初检</w:t>
      </w:r>
      <w:r>
        <w:rPr>
          <w:rFonts w:ascii="仿宋_GB2312" w:eastAsia="仿宋_GB2312" w:cs="Sim Sun"/>
          <w:iCs/>
          <w:kern w:val="0"/>
          <w:sz w:val="28"/>
          <w:szCs w:val="28"/>
        </w:rPr>
        <w:t>、复</w:t>
      </w:r>
      <w:r>
        <w:rPr>
          <w:rFonts w:hint="eastAsia" w:ascii="仿宋_GB2312" w:eastAsia="仿宋_GB2312" w:cs="Sim Sun"/>
          <w:iCs/>
          <w:kern w:val="0"/>
          <w:sz w:val="28"/>
          <w:szCs w:val="28"/>
        </w:rPr>
        <w:t>验</w:t>
      </w:r>
      <w:r>
        <w:rPr>
          <w:rFonts w:ascii="仿宋_GB2312" w:eastAsia="仿宋_GB2312" w:cs="Sim Sun"/>
          <w:iCs/>
          <w:kern w:val="0"/>
          <w:sz w:val="28"/>
          <w:szCs w:val="28"/>
        </w:rPr>
        <w:t>结果及企业提交的</w:t>
      </w:r>
      <w:r>
        <w:rPr>
          <w:rFonts w:hint="eastAsia" w:ascii="仿宋_GB2312" w:eastAsia="仿宋_GB2312" w:cs="Sim Sun"/>
          <w:iCs/>
          <w:kern w:val="0"/>
          <w:sz w:val="28"/>
          <w:szCs w:val="28"/>
        </w:rPr>
        <w:t>证明</w:t>
      </w:r>
      <w:r>
        <w:rPr>
          <w:rFonts w:ascii="仿宋_GB2312" w:eastAsia="仿宋_GB2312" w:cs="Sim Sun"/>
          <w:iCs/>
          <w:kern w:val="0"/>
          <w:sz w:val="28"/>
          <w:szCs w:val="28"/>
        </w:rPr>
        <w:t>材料，做出复检结论</w:t>
      </w:r>
      <w:r>
        <w:rPr>
          <w:rFonts w:hint="eastAsia" w:ascii="仿宋_GB2312" w:eastAsia="仿宋_GB2312" w:cs="Sim Sun"/>
          <w:iCs/>
          <w:kern w:val="0"/>
          <w:sz w:val="28"/>
          <w:szCs w:val="28"/>
        </w:rPr>
        <w:t>，</w:t>
      </w:r>
      <w:r>
        <w:rPr>
          <w:rFonts w:ascii="仿宋_GB2312" w:eastAsia="仿宋_GB2312" w:cs="Sim Sun"/>
          <w:iCs/>
          <w:kern w:val="0"/>
          <w:sz w:val="28"/>
          <w:szCs w:val="28"/>
        </w:rPr>
        <w:t>复检结论为最终结论。</w:t>
      </w:r>
    </w:p>
    <w:p>
      <w:pPr>
        <w:pStyle w:val="3"/>
      </w:pPr>
      <w:r>
        <w:rPr>
          <w:rFonts w:hint="eastAsia"/>
        </w:rPr>
        <w:t>9 附则</w:t>
      </w:r>
    </w:p>
    <w:p>
      <w:pPr>
        <w:snapToGrid w:val="0"/>
        <w:spacing w:line="540" w:lineRule="exact"/>
        <w:ind w:firstLine="537" w:firstLineChars="192"/>
        <w:rPr>
          <w:rFonts w:ascii="仿宋_GB2312" w:hAnsi="宋体" w:eastAsia="仿宋_GB2312"/>
          <w:sz w:val="28"/>
          <w:szCs w:val="28"/>
        </w:rPr>
      </w:pPr>
      <w:r>
        <w:rPr>
          <w:rFonts w:hint="eastAsia" w:ascii="仿宋_GB2312" w:hAnsi="宋体" w:eastAsia="仿宋_GB2312"/>
          <w:sz w:val="28"/>
          <w:szCs w:val="28"/>
        </w:rPr>
        <w:t>本规范编制单位：</w:t>
      </w:r>
      <w:r>
        <w:rPr>
          <w:rFonts w:hint="eastAsia" w:ascii="仿宋_GB2312" w:eastAsia="仿宋_GB2312"/>
          <w:sz w:val="28"/>
          <w:szCs w:val="28"/>
        </w:rPr>
        <w:t>深圳市计量质量检测研究院</w:t>
      </w:r>
      <w:r>
        <w:rPr>
          <w:rFonts w:hint="eastAsia" w:ascii="仿宋_GB2312" w:hAnsi="宋体" w:eastAsia="仿宋_GB2312"/>
          <w:sz w:val="28"/>
          <w:szCs w:val="28"/>
        </w:rPr>
        <w:t>。</w:t>
      </w:r>
    </w:p>
    <w:p>
      <w:pPr>
        <w:snapToGrid w:val="0"/>
        <w:spacing w:line="540" w:lineRule="exact"/>
        <w:ind w:firstLine="537" w:firstLineChars="192"/>
        <w:rPr>
          <w:rFonts w:hint="eastAsia" w:ascii="仿宋_GB2312" w:hAnsi="宋体" w:eastAsia="仿宋_GB2312"/>
          <w:sz w:val="28"/>
          <w:szCs w:val="28"/>
        </w:rPr>
      </w:pPr>
      <w:r>
        <w:rPr>
          <w:rFonts w:hint="eastAsia" w:ascii="仿宋_GB2312" w:hAnsi="宋体" w:eastAsia="仿宋_GB2312"/>
          <w:sz w:val="28"/>
          <w:szCs w:val="28"/>
        </w:rPr>
        <w:t>本规范由</w:t>
      </w:r>
      <w:r>
        <w:rPr>
          <w:rFonts w:hint="eastAsia" w:ascii="仿宋_GB2312" w:hAnsi="宋体" w:eastAsia="仿宋_GB2312"/>
          <w:iCs/>
          <w:sz w:val="28"/>
          <w:szCs w:val="28"/>
        </w:rPr>
        <w:t>深圳市市场监督管理局质量处</w:t>
      </w:r>
      <w:r>
        <w:rPr>
          <w:rFonts w:hint="eastAsia" w:ascii="仿宋_GB2312" w:hAnsi="宋体" w:eastAsia="仿宋_GB2312"/>
          <w:sz w:val="28"/>
          <w:szCs w:val="28"/>
        </w:rPr>
        <w:t>管理。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Sim Sun">
    <w:altName w:val="仿宋_GB2312"/>
    <w:panose1 w:val="00000000000000000000"/>
    <w:charset w:val="86"/>
    <w:family w:val="swiss"/>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63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qFormat/>
    <w:uiPriority w:val="0"/>
    <w:pPr>
      <w:keepNext/>
      <w:keepLines/>
      <w:spacing w:before="280" w:after="290" w:line="376" w:lineRule="auto"/>
      <w:outlineLvl w:val="4"/>
    </w:pPr>
    <w:rPr>
      <w:rFonts w:ascii="Calibri" w:hAnsi="Calibri" w:eastAsia="黑体"/>
      <w:bCs/>
      <w:sz w:val="28"/>
      <w:szCs w:val="28"/>
    </w:rPr>
  </w:style>
  <w:style w:type="paragraph" w:styleId="3">
    <w:name w:val="heading 6"/>
    <w:basedOn w:val="1"/>
    <w:next w:val="1"/>
    <w:qFormat/>
    <w:uiPriority w:val="0"/>
    <w:pPr>
      <w:keepNext/>
      <w:keepLines/>
      <w:spacing w:before="240" w:after="64" w:line="320" w:lineRule="auto"/>
      <w:outlineLvl w:val="5"/>
    </w:pPr>
    <w:rPr>
      <w:rFonts w:ascii="Cambria" w:hAnsi="Cambria" w:eastAsia="仿宋_GB2312"/>
      <w:b/>
      <w:bCs/>
      <w:sz w:val="28"/>
    </w:rPr>
  </w:style>
  <w:style w:type="paragraph" w:styleId="4">
    <w:name w:val="heading 8"/>
    <w:basedOn w:val="1"/>
    <w:next w:val="1"/>
    <w:qFormat/>
    <w:uiPriority w:val="0"/>
    <w:pPr>
      <w:keepNext/>
      <w:keepLines/>
      <w:spacing w:before="240" w:after="64" w:line="320" w:lineRule="auto"/>
      <w:outlineLvl w:val="7"/>
    </w:pPr>
    <w:rPr>
      <w:rFonts w:ascii="Cambria" w:hAnsi="Cambria" w:eastAsia="仿宋_GB2312"/>
      <w:b/>
      <w:sz w:val="28"/>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
    <w:name w:val="二级无标题条"/>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2020-08-25T07:08:33Z</dcterms:created>
  <dc:creator>changmy</dc:creator>
  <cp:lastModifiedBy>常孟园</cp:lastModifiedBy>
  <dcterms:modified xsi:type="dcterms:W3CDTF">2020-08-25T07:09:18Z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