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snapToGrid w:val="0"/>
        <w:spacing w:line="600" w:lineRule="exact"/>
        <w:jc w:val="center"/>
        <w:rPr>
          <w:rFonts w:hint="eastAsia" w:ascii="华文中宋" w:hAnsi="华文中宋" w:eastAsia="华文中宋"/>
          <w:b/>
          <w:color w:val="000000" w:themeColor="text1"/>
          <w:sz w:val="44"/>
          <w:szCs w:val="44"/>
          <w14:textFill>
            <w14:solidFill>
              <w14:schemeClr w14:val="tx1"/>
            </w14:solidFill>
          </w14:textFill>
        </w:rPr>
      </w:pPr>
    </w:p>
    <w:p>
      <w:pPr>
        <w:snapToGrid w:val="0"/>
        <w:spacing w:line="600" w:lineRule="exact"/>
        <w:jc w:val="center"/>
        <w:rPr>
          <w:rFonts w:hint="eastAsia" w:ascii="华文中宋" w:hAnsi="华文中宋" w:eastAsia="华文中宋"/>
          <w:b/>
          <w:color w:val="000000" w:themeColor="text1"/>
          <w:sz w:val="44"/>
          <w:szCs w:val="44"/>
          <w:lang w:eastAsia="zh-CN"/>
          <w14:textFill>
            <w14:solidFill>
              <w14:schemeClr w14:val="tx1"/>
            </w14:solidFill>
          </w14:textFill>
        </w:rPr>
      </w:pPr>
      <w:r>
        <w:rPr>
          <w:rFonts w:hint="eastAsia" w:ascii="华文中宋" w:hAnsi="华文中宋" w:eastAsia="华文中宋"/>
          <w:b/>
          <w:color w:val="000000" w:themeColor="text1"/>
          <w:sz w:val="44"/>
          <w:szCs w:val="44"/>
          <w:lang w:eastAsia="zh-CN"/>
          <w14:textFill>
            <w14:solidFill>
              <w14:schemeClr w14:val="tx1"/>
            </w14:solidFill>
          </w14:textFill>
        </w:rPr>
        <w:t>深圳市市场监管局关于印发《深圳市知识产权专家库管理办法（试行）》的通知</w:t>
      </w:r>
    </w:p>
    <w:p>
      <w:pPr>
        <w:snapToGrid w:val="0"/>
        <w:spacing w:line="600" w:lineRule="exact"/>
        <w:jc w:val="center"/>
        <w:rPr>
          <w:rFonts w:hint="eastAsia" w:ascii="华文中宋" w:hAnsi="华文中宋" w:eastAsia="华文中宋"/>
          <w:b/>
          <w:color w:val="000000" w:themeColor="text1"/>
          <w:sz w:val="44"/>
          <w:szCs w:val="44"/>
          <w:lang w:eastAsia="zh-CN"/>
          <w14:textFill>
            <w14:solidFill>
              <w14:schemeClr w14:val="tx1"/>
            </w14:solidFill>
          </w14:textFill>
        </w:rPr>
      </w:pPr>
    </w:p>
    <w:p>
      <w:pPr>
        <w:snapToGrid w:val="0"/>
        <w:spacing w:line="600" w:lineRule="exact"/>
        <w:jc w:val="both"/>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t>各有关单位和个人：</w:t>
      </w:r>
    </w:p>
    <w:p>
      <w:pPr>
        <w:snapToGrid w:val="0"/>
        <w:spacing w:line="600" w:lineRule="exact"/>
        <w:ind w:firstLine="640"/>
        <w:jc w:val="both"/>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t>现将《深圳市知识产权专家库管理办法（试行）》印发给你们，请遵照执行。</w:t>
      </w:r>
    </w:p>
    <w:p>
      <w:pPr>
        <w:snapToGrid w:val="0"/>
        <w:spacing w:line="600" w:lineRule="exact"/>
        <w:ind w:firstLine="640"/>
        <w:jc w:val="both"/>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t>特此通知。</w:t>
      </w:r>
    </w:p>
    <w:p>
      <w:pPr>
        <w:snapToGrid w:val="0"/>
        <w:spacing w:line="600" w:lineRule="exact"/>
        <w:ind w:firstLine="640"/>
        <w:jc w:val="both"/>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pPr>
    </w:p>
    <w:p>
      <w:pPr>
        <w:snapToGrid w:val="0"/>
        <w:spacing w:line="600" w:lineRule="exact"/>
        <w:ind w:firstLine="640"/>
        <w:jc w:val="both"/>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pPr>
    </w:p>
    <w:p>
      <w:pPr>
        <w:snapToGrid w:val="0"/>
        <w:spacing w:line="600" w:lineRule="exact"/>
        <w:ind w:firstLine="640"/>
        <w:jc w:val="both"/>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pPr>
    </w:p>
    <w:p>
      <w:pPr>
        <w:snapToGrid w:val="0"/>
        <w:spacing w:line="600" w:lineRule="exact"/>
        <w:ind w:firstLine="640"/>
        <w:jc w:val="both"/>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pPr>
    </w:p>
    <w:p>
      <w:pPr>
        <w:snapToGrid w:val="0"/>
        <w:spacing w:line="600" w:lineRule="exact"/>
        <w:ind w:firstLine="640"/>
        <w:jc w:val="both"/>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t xml:space="preserve">                           深圳市市场监督管理局</w:t>
      </w:r>
    </w:p>
    <w:p>
      <w:pPr>
        <w:snapToGrid w:val="0"/>
        <w:spacing w:line="600" w:lineRule="exact"/>
        <w:ind w:firstLine="640"/>
        <w:jc w:val="both"/>
        <w:rPr>
          <w:rFonts w:hint="default" w:ascii="仿宋_GB2312" w:hAnsi="仿宋"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t xml:space="preserve">                              2019年6月5日</w:t>
      </w:r>
    </w:p>
    <w:p>
      <w:pPr>
        <w:snapToGrid w:val="0"/>
        <w:spacing w:line="600" w:lineRule="exact"/>
        <w:jc w:val="center"/>
        <w:rPr>
          <w:rFonts w:hint="eastAsia" w:ascii="华文中宋" w:hAnsi="华文中宋" w:eastAsia="华文中宋"/>
          <w:b/>
          <w:color w:val="000000" w:themeColor="text1"/>
          <w:sz w:val="44"/>
          <w:szCs w:val="44"/>
          <w14:textFill>
            <w14:solidFill>
              <w14:schemeClr w14:val="tx1"/>
            </w14:solidFill>
          </w14:textFill>
        </w:rPr>
      </w:pPr>
    </w:p>
    <w:p>
      <w:pPr>
        <w:snapToGrid w:val="0"/>
        <w:spacing w:line="600" w:lineRule="exact"/>
        <w:jc w:val="center"/>
        <w:rPr>
          <w:rFonts w:hint="eastAsia" w:ascii="华文中宋" w:hAnsi="华文中宋" w:eastAsia="华文中宋"/>
          <w:b/>
          <w:color w:val="000000" w:themeColor="text1"/>
          <w:sz w:val="44"/>
          <w:szCs w:val="44"/>
          <w14:textFill>
            <w14:solidFill>
              <w14:schemeClr w14:val="tx1"/>
            </w14:solidFill>
          </w14:textFill>
        </w:rPr>
      </w:pPr>
    </w:p>
    <w:p>
      <w:pPr>
        <w:snapToGrid w:val="0"/>
        <w:spacing w:line="600" w:lineRule="exact"/>
        <w:jc w:val="center"/>
        <w:rPr>
          <w:rFonts w:hint="eastAsia" w:ascii="华文中宋" w:hAnsi="华文中宋" w:eastAsia="华文中宋"/>
          <w:b/>
          <w:color w:val="000000" w:themeColor="text1"/>
          <w:sz w:val="44"/>
          <w:szCs w:val="44"/>
          <w14:textFill>
            <w14:solidFill>
              <w14:schemeClr w14:val="tx1"/>
            </w14:solidFill>
          </w14:textFill>
        </w:rPr>
      </w:pPr>
    </w:p>
    <w:p>
      <w:pPr>
        <w:snapToGrid w:val="0"/>
        <w:spacing w:line="600" w:lineRule="exact"/>
        <w:jc w:val="center"/>
        <w:rPr>
          <w:rFonts w:hint="eastAsia" w:ascii="华文中宋" w:hAnsi="华文中宋" w:eastAsia="华文中宋"/>
          <w:b/>
          <w:color w:val="000000" w:themeColor="text1"/>
          <w:sz w:val="44"/>
          <w:szCs w:val="44"/>
          <w14:textFill>
            <w14:solidFill>
              <w14:schemeClr w14:val="tx1"/>
            </w14:solidFill>
          </w14:textFill>
        </w:rPr>
      </w:pPr>
    </w:p>
    <w:p>
      <w:pPr>
        <w:snapToGrid w:val="0"/>
        <w:spacing w:line="600" w:lineRule="exact"/>
        <w:jc w:val="center"/>
        <w:rPr>
          <w:rFonts w:hint="eastAsia" w:ascii="华文中宋" w:hAnsi="华文中宋" w:eastAsia="华文中宋"/>
          <w:b/>
          <w:color w:val="000000" w:themeColor="text1"/>
          <w:sz w:val="44"/>
          <w:szCs w:val="44"/>
          <w14:textFill>
            <w14:solidFill>
              <w14:schemeClr w14:val="tx1"/>
            </w14:solidFill>
          </w14:textFill>
        </w:rPr>
      </w:pPr>
    </w:p>
    <w:p>
      <w:pPr>
        <w:snapToGrid w:val="0"/>
        <w:spacing w:line="600" w:lineRule="exact"/>
        <w:jc w:val="center"/>
        <w:rPr>
          <w:rFonts w:hint="eastAsia" w:ascii="华文中宋" w:hAnsi="华文中宋" w:eastAsia="华文中宋"/>
          <w:b/>
          <w:color w:val="000000" w:themeColor="text1"/>
          <w:sz w:val="44"/>
          <w:szCs w:val="44"/>
          <w14:textFill>
            <w14:solidFill>
              <w14:schemeClr w14:val="tx1"/>
            </w14:solidFill>
          </w14:textFill>
        </w:rPr>
      </w:pPr>
    </w:p>
    <w:p>
      <w:pPr>
        <w:snapToGrid w:val="0"/>
        <w:spacing w:line="600" w:lineRule="exact"/>
        <w:jc w:val="center"/>
        <w:rPr>
          <w:rFonts w:hint="eastAsia" w:ascii="华文中宋" w:hAnsi="华文中宋" w:eastAsia="华文中宋"/>
          <w:b/>
          <w:color w:val="000000" w:themeColor="text1"/>
          <w:sz w:val="44"/>
          <w:szCs w:val="44"/>
          <w14:textFill>
            <w14:solidFill>
              <w14:schemeClr w14:val="tx1"/>
            </w14:solidFill>
          </w14:textFill>
        </w:rPr>
      </w:pPr>
    </w:p>
    <w:p>
      <w:pPr>
        <w:snapToGrid w:val="0"/>
        <w:spacing w:line="600" w:lineRule="exact"/>
        <w:jc w:val="center"/>
        <w:rPr>
          <w:rFonts w:hint="eastAsia" w:ascii="华文中宋" w:hAnsi="华文中宋" w:eastAsia="华文中宋"/>
          <w:b/>
          <w:color w:val="000000" w:themeColor="text1"/>
          <w:sz w:val="44"/>
          <w:szCs w:val="44"/>
          <w14:textFill>
            <w14:solidFill>
              <w14:schemeClr w14:val="tx1"/>
            </w14:solidFill>
          </w14:textFill>
        </w:rPr>
      </w:pPr>
    </w:p>
    <w:p>
      <w:pPr>
        <w:snapToGrid w:val="0"/>
        <w:spacing w:line="600" w:lineRule="exact"/>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深圳市知识产权专家库管理办法（试行）</w:t>
      </w:r>
    </w:p>
    <w:p>
      <w:pPr>
        <w:rPr>
          <w:rFonts w:ascii="宋体" w:hAnsi="宋体"/>
          <w:b/>
          <w:color w:val="000000" w:themeColor="text1"/>
          <w:sz w:val="44"/>
          <w:szCs w:val="44"/>
          <w14:textFill>
            <w14:solidFill>
              <w14:schemeClr w14:val="tx1"/>
            </w14:solidFill>
          </w14:textFill>
        </w:rPr>
      </w:pPr>
    </w:p>
    <w:p>
      <w:pPr>
        <w:spacing w:afterLines="50"/>
        <w:jc w:val="center"/>
        <w:rPr>
          <w:rFonts w:ascii="宋体" w:hAnsi="宋体"/>
          <w:b/>
          <w:color w:val="000000" w:themeColor="text1"/>
          <w:sz w:val="44"/>
          <w:szCs w:val="44"/>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第一章 总则</w:t>
      </w:r>
    </w:p>
    <w:p>
      <w:pPr>
        <w:pStyle w:val="5"/>
        <w:spacing w:line="560" w:lineRule="exact"/>
        <w:ind w:firstLine="720"/>
        <w:rPr>
          <w:rFonts w:ascii="仿宋_GB2312" w:hAnsi="仿宋"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第一条 </w:t>
      </w:r>
      <w:r>
        <w:rPr>
          <w:rFonts w:hint="eastAsia" w:ascii="仿宋_GB2312" w:hAnsi="仿宋" w:eastAsia="仿宋_GB2312"/>
          <w:color w:val="000000" w:themeColor="text1"/>
          <w:sz w:val="32"/>
          <w:szCs w:val="32"/>
          <w14:textFill>
            <w14:solidFill>
              <w14:schemeClr w14:val="tx1"/>
            </w14:solidFill>
          </w14:textFill>
        </w:rPr>
        <w:t>为规范知识产权专家库（以下简称专家库）管理，充分发挥知识产权专家（以下简称专家）对深圳创新发展和营商环境优化的智库资源优势，提高科学决策水平，根据深圳知识产权工作实际，制定本办法。</w:t>
      </w:r>
    </w:p>
    <w:p>
      <w:pPr>
        <w:pStyle w:val="5"/>
        <w:spacing w:line="560" w:lineRule="exact"/>
        <w:ind w:firstLine="720"/>
        <w:rPr>
          <w:rFonts w:ascii="仿宋_GB2312" w:hAnsi="仿宋" w:eastAsia="仿宋_GB2312"/>
          <w:color w:val="000000" w:themeColor="text1"/>
          <w:sz w:val="32"/>
          <w:szCs w:val="32"/>
          <w14:textFill>
            <w14:solidFill>
              <w14:schemeClr w14:val="tx1"/>
            </w14:solidFill>
          </w14:textFill>
        </w:rPr>
      </w:pPr>
      <w:bookmarkStart w:id="0" w:name="OLE_LINK39"/>
      <w:r>
        <w:rPr>
          <w:rFonts w:hint="eastAsia" w:ascii="仿宋_GB2312" w:eastAsia="仿宋_GB2312"/>
          <w:b/>
          <w:color w:val="000000" w:themeColor="text1"/>
          <w:sz w:val="32"/>
          <w:szCs w:val="32"/>
          <w14:textFill>
            <w14:solidFill>
              <w14:schemeClr w14:val="tx1"/>
            </w14:solidFill>
          </w14:textFill>
        </w:rPr>
        <w:t xml:space="preserve">第二条 </w:t>
      </w:r>
      <w:r>
        <w:rPr>
          <w:rFonts w:hint="eastAsia" w:ascii="仿宋_GB2312" w:hAnsi="仿宋" w:eastAsia="仿宋_GB2312"/>
          <w:color w:val="000000" w:themeColor="text1"/>
          <w:sz w:val="32"/>
          <w:szCs w:val="32"/>
          <w14:textFill>
            <w14:solidFill>
              <w14:schemeClr w14:val="tx1"/>
            </w14:solidFill>
          </w14:textFill>
        </w:rPr>
        <w:t>本办法所称专家，是指依照本办法规定入选专家库,从事知识产权创造、运用、保护、管理及服务等工作，具有较强理论水平或丰富实践经验的知识产权或相关专业人员。</w:t>
      </w:r>
    </w:p>
    <w:bookmarkEnd w:id="0"/>
    <w:p>
      <w:pPr>
        <w:pStyle w:val="5"/>
        <w:spacing w:line="560" w:lineRule="exact"/>
        <w:ind w:firstLine="72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本办法所称专家库，是指市知识产权主管部门按照本办法管理的专家人才库。</w:t>
      </w:r>
    </w:p>
    <w:p>
      <w:pPr>
        <w:pStyle w:val="5"/>
        <w:spacing w:line="560"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本办法所称专家库管理，是指专家库的建设、专家出入库、使用、指导、协调、监督等管理活动。</w:t>
      </w:r>
    </w:p>
    <w:p>
      <w:pPr>
        <w:pStyle w:val="5"/>
        <w:spacing w:line="560" w:lineRule="exact"/>
        <w:ind w:firstLine="720"/>
        <w:rPr>
          <w:rFonts w:ascii="仿宋_GB2312" w:hAnsi="仿宋"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第三条</w:t>
      </w:r>
      <w:r>
        <w:rPr>
          <w:rFonts w:hint="eastAsia" w:ascii="仿宋_GB2312" w:hAnsi="仿宋" w:eastAsia="仿宋_GB2312"/>
          <w:color w:val="000000" w:themeColor="text1"/>
          <w:sz w:val="32"/>
          <w:szCs w:val="32"/>
          <w14:textFill>
            <w14:solidFill>
              <w14:schemeClr w14:val="tx1"/>
            </w14:solidFill>
          </w14:textFill>
        </w:rPr>
        <w:t xml:space="preserve"> 专家库由市知识产权主管部门根据科学管理、结构合理、规范使用、素质优良的原则进行管理和维护。</w:t>
      </w:r>
    </w:p>
    <w:p>
      <w:pPr>
        <w:pStyle w:val="5"/>
        <w:spacing w:line="560" w:lineRule="exact"/>
        <w:ind w:firstLine="72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市知识产权主管部门的主要工作职责为：</w:t>
      </w:r>
      <w:r>
        <w:rPr>
          <w:rFonts w:ascii="仿宋_GB2312" w:hAnsi="仿宋" w:eastAsia="仿宋_GB2312"/>
          <w:color w:val="000000" w:themeColor="text1"/>
          <w:sz w:val="32"/>
          <w:szCs w:val="32"/>
          <w14:textFill>
            <w14:solidFill>
              <w14:schemeClr w14:val="tx1"/>
            </w14:solidFill>
          </w14:textFill>
        </w:rPr>
        <w:t xml:space="preserve"> </w:t>
      </w:r>
    </w:p>
    <w:p>
      <w:pPr>
        <w:pStyle w:val="5"/>
        <w:spacing w:line="560"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（一）建立、完善专家库管理相关规范和工作流程等制度；</w:t>
      </w:r>
    </w:p>
    <w:p>
      <w:pPr>
        <w:pStyle w:val="5"/>
        <w:spacing w:line="560"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组织</w:t>
      </w:r>
      <w:r>
        <w:rPr>
          <w:rFonts w:ascii="仿宋_GB2312" w:hAnsi="仿宋" w:eastAsia="仿宋_GB2312"/>
          <w:color w:val="000000" w:themeColor="text1"/>
          <w:sz w:val="32"/>
          <w:szCs w:val="32"/>
          <w14:textFill>
            <w14:solidFill>
              <w14:schemeClr w14:val="tx1"/>
            </w14:solidFill>
          </w14:textFill>
        </w:rPr>
        <w:t>公开</w:t>
      </w:r>
      <w:r>
        <w:rPr>
          <w:rFonts w:hint="eastAsia" w:ascii="仿宋_GB2312" w:hAnsi="仿宋" w:eastAsia="仿宋_GB2312"/>
          <w:color w:val="000000" w:themeColor="text1"/>
          <w:sz w:val="32"/>
          <w:szCs w:val="32"/>
          <w14:textFill>
            <w14:solidFill>
              <w14:schemeClr w14:val="tx1"/>
            </w14:solidFill>
          </w14:textFill>
        </w:rPr>
        <w:t>征集</w:t>
      </w:r>
      <w:r>
        <w:rPr>
          <w:rFonts w:ascii="仿宋_GB2312" w:hAnsi="仿宋" w:eastAsia="仿宋_GB2312"/>
          <w:color w:val="000000" w:themeColor="text1"/>
          <w:sz w:val="32"/>
          <w:szCs w:val="32"/>
          <w14:textFill>
            <w14:solidFill>
              <w14:schemeClr w14:val="tx1"/>
            </w14:solidFill>
          </w14:textFill>
        </w:rPr>
        <w:t>工</w:t>
      </w:r>
      <w:r>
        <w:rPr>
          <w:rFonts w:hint="eastAsia" w:ascii="仿宋_GB2312" w:hAnsi="仿宋" w:eastAsia="仿宋_GB2312"/>
          <w:color w:val="000000" w:themeColor="text1"/>
          <w:sz w:val="32"/>
          <w:szCs w:val="32"/>
          <w14:textFill>
            <w14:solidFill>
              <w14:schemeClr w14:val="tx1"/>
            </w14:solidFill>
          </w14:textFill>
        </w:rPr>
        <w:t>作；</w:t>
      </w:r>
    </w:p>
    <w:p>
      <w:pPr>
        <w:pStyle w:val="5"/>
        <w:spacing w:line="560"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（三）决定专家入库、出库；</w:t>
      </w:r>
    </w:p>
    <w:p>
      <w:pPr>
        <w:pStyle w:val="5"/>
        <w:spacing w:line="560"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（四）对专家入库申请进行登记、组织资格审核，开展专业分类，建立入库专家信息档案；</w:t>
      </w:r>
    </w:p>
    <w:p>
      <w:pPr>
        <w:pStyle w:val="5"/>
        <w:spacing w:line="560"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（五）根据相关部门需求，抽取推荐专家参与工作；</w:t>
      </w:r>
    </w:p>
    <w:p>
      <w:pPr>
        <w:pStyle w:val="5"/>
        <w:spacing w:line="560"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（六）记录、管理入库专家的主要活动和工作业绩档案；</w:t>
      </w:r>
    </w:p>
    <w:p>
      <w:pPr>
        <w:pStyle w:val="5"/>
        <w:spacing w:line="560" w:lineRule="exact"/>
        <w:ind w:firstLine="63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（七）专家库的技术和运营维护；</w:t>
      </w:r>
    </w:p>
    <w:p>
      <w:pPr>
        <w:pStyle w:val="5"/>
        <w:spacing w:line="560" w:lineRule="exact"/>
        <w:ind w:firstLine="63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（八）其它有关管理工作。</w:t>
      </w:r>
    </w:p>
    <w:p>
      <w:pPr>
        <w:snapToGrid w:val="0"/>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第四条 </w:t>
      </w:r>
      <w:r>
        <w:rPr>
          <w:rFonts w:hint="eastAsia" w:ascii="仿宋_GB2312" w:eastAsia="仿宋_GB2312"/>
          <w:color w:val="000000" w:themeColor="text1"/>
          <w:sz w:val="32"/>
          <w:szCs w:val="32"/>
          <w14:textFill>
            <w14:solidFill>
              <w14:schemeClr w14:val="tx1"/>
            </w14:solidFill>
          </w14:textFill>
        </w:rPr>
        <w:t>市知识产权主管部门在门户网站设立“知识产权专家库”栏目，收集和发布专家库信息和专家工作动态。</w:t>
      </w:r>
    </w:p>
    <w:p>
      <w:pPr>
        <w:pStyle w:val="5"/>
        <w:spacing w:line="560" w:lineRule="exact"/>
        <w:ind w:firstLine="720"/>
        <w:rPr>
          <w:rFonts w:ascii="仿宋_GB2312" w:hAnsi="仿宋" w:eastAsia="仿宋_GB2312"/>
          <w:color w:val="000000" w:themeColor="text1"/>
          <w:sz w:val="32"/>
          <w:szCs w:val="32"/>
          <w14:textFill>
            <w14:solidFill>
              <w14:schemeClr w14:val="tx1"/>
            </w14:solidFill>
          </w14:textFill>
        </w:rPr>
      </w:pPr>
    </w:p>
    <w:p>
      <w:pPr>
        <w:snapToGrid w:val="0"/>
        <w:spacing w:beforeLines="50" w:afterLines="50" w:line="60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第二章 专家出入库</w:t>
      </w:r>
    </w:p>
    <w:p>
      <w:pPr>
        <w:snapToGrid w:val="0"/>
        <w:spacing w:line="60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第五条 </w:t>
      </w:r>
      <w:r>
        <w:rPr>
          <w:rFonts w:hint="eastAsia" w:ascii="仿宋_GB2312" w:eastAsia="仿宋_GB2312"/>
          <w:color w:val="000000" w:themeColor="text1"/>
          <w:sz w:val="32"/>
          <w:szCs w:val="32"/>
          <w14:textFill>
            <w14:solidFill>
              <w14:schemeClr w14:val="tx1"/>
            </w14:solidFill>
          </w14:textFill>
        </w:rPr>
        <w:t>专家应当符合下列条件：</w:t>
      </w:r>
    </w:p>
    <w:p>
      <w:pPr>
        <w:snapToGrid w:val="0"/>
        <w:spacing w:line="60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hint="eastAsia" w:ascii="仿宋_GB2312" w:hAnsi="Arial" w:eastAsia="仿宋_GB2312" w:cs="Arial"/>
          <w:color w:val="000000" w:themeColor="text1"/>
          <w:kern w:val="0"/>
          <w:sz w:val="32"/>
          <w:szCs w:val="32"/>
          <w14:textFill>
            <w14:solidFill>
              <w14:schemeClr w14:val="tx1"/>
            </w14:solidFill>
          </w14:textFill>
        </w:rPr>
        <w:t>遵守国家有关法律、法规、规章和政策，具有严谨的科学素养、职业道德</w:t>
      </w:r>
      <w:r>
        <w:rPr>
          <w:rFonts w:hint="eastAsia" w:ascii="仿宋_GB2312" w:eastAsia="仿宋_GB2312"/>
          <w:color w:val="000000" w:themeColor="text1"/>
          <w:sz w:val="32"/>
          <w:szCs w:val="32"/>
          <w14:textFill>
            <w14:solidFill>
              <w14:schemeClr w14:val="tx1"/>
            </w14:solidFill>
          </w14:textFill>
        </w:rPr>
        <w:t>和高度的责任心</w:t>
      </w:r>
      <w:r>
        <w:rPr>
          <w:rFonts w:hint="eastAsia" w:ascii="仿宋_GB2312" w:hAnsi="Arial" w:eastAsia="仿宋_GB2312" w:cs="Arial"/>
          <w:color w:val="000000" w:themeColor="text1"/>
          <w:kern w:val="0"/>
          <w:sz w:val="32"/>
          <w:szCs w:val="32"/>
          <w14:textFill>
            <w14:solidFill>
              <w14:schemeClr w14:val="tx1"/>
            </w14:solidFill>
          </w14:textFill>
        </w:rPr>
        <w:t>，作风正派，治学严谨，能够客观、公正</w:t>
      </w:r>
      <w:r>
        <w:rPr>
          <w:rFonts w:hint="eastAsia" w:ascii="仿宋_GB2312" w:eastAsia="仿宋_GB2312"/>
          <w:color w:val="000000" w:themeColor="text1"/>
          <w:sz w:val="32"/>
          <w:szCs w:val="32"/>
          <w14:textFill>
            <w14:solidFill>
              <w14:schemeClr w14:val="tx1"/>
            </w14:solidFill>
          </w14:textFill>
        </w:rPr>
        <w:t>地履行职责</w:t>
      </w:r>
      <w:r>
        <w:rPr>
          <w:rFonts w:hint="eastAsia" w:ascii="仿宋_GB2312" w:hAnsi="Arial" w:eastAsia="仿宋_GB2312" w:cs="Arial"/>
          <w:color w:val="000000" w:themeColor="text1"/>
          <w:kern w:val="0"/>
          <w:sz w:val="32"/>
          <w:szCs w:val="32"/>
          <w14:textFill>
            <w14:solidFill>
              <w14:schemeClr w14:val="tx1"/>
            </w14:solidFill>
          </w14:textFill>
        </w:rPr>
        <w:t>；</w:t>
      </w:r>
    </w:p>
    <w:p>
      <w:pPr>
        <w:snapToGrid w:val="0"/>
        <w:spacing w:line="60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（二）在本专业领域具有较强理论水平或丰富实践经验，</w:t>
      </w:r>
      <w:r>
        <w:rPr>
          <w:rFonts w:hint="eastAsia" w:ascii="仿宋_GB2312" w:hAnsi="Arial" w:eastAsia="仿宋_GB2312" w:cs="Arial"/>
          <w:color w:val="000000" w:themeColor="text1"/>
          <w:kern w:val="0"/>
          <w:sz w:val="32"/>
          <w:szCs w:val="32"/>
          <w14:textFill>
            <w14:solidFill>
              <w14:schemeClr w14:val="tx1"/>
            </w14:solidFill>
          </w14:textFill>
        </w:rPr>
        <w:t>熟悉国内外</w:t>
      </w:r>
      <w:r>
        <w:rPr>
          <w:rFonts w:hint="eastAsia" w:ascii="仿宋_GB2312" w:eastAsia="仿宋_GB2312"/>
          <w:color w:val="000000" w:themeColor="text1"/>
          <w:sz w:val="32"/>
          <w:szCs w:val="32"/>
          <w14:textFill>
            <w14:solidFill>
              <w14:schemeClr w14:val="tx1"/>
            </w14:solidFill>
          </w14:textFill>
        </w:rPr>
        <w:t>专业(技术)领域和知识产权最新发展</w:t>
      </w:r>
      <w:r>
        <w:rPr>
          <w:rFonts w:hint="eastAsia" w:ascii="仿宋_GB2312" w:hAnsi="Arial" w:eastAsia="仿宋_GB2312" w:cs="Arial"/>
          <w:color w:val="000000" w:themeColor="text1"/>
          <w:kern w:val="0"/>
          <w:sz w:val="32"/>
          <w:szCs w:val="32"/>
          <w14:textFill>
            <w14:solidFill>
              <w14:schemeClr w14:val="tx1"/>
            </w14:solidFill>
          </w14:textFill>
        </w:rPr>
        <w:t>动态</w:t>
      </w:r>
      <w:r>
        <w:rPr>
          <w:rFonts w:hint="eastAsia" w:ascii="仿宋_GB2312" w:eastAsia="仿宋_GB2312"/>
          <w:color w:val="000000" w:themeColor="text1"/>
          <w:sz w:val="32"/>
          <w:szCs w:val="32"/>
          <w14:textFill>
            <w14:solidFill>
              <w14:schemeClr w14:val="tx1"/>
            </w14:solidFill>
          </w14:textFill>
        </w:rPr>
        <w:t>；其中，技术类专家应具有高级（或相当）专业技术职称，且从事技术研发五年以上；</w:t>
      </w:r>
    </w:p>
    <w:p>
      <w:pPr>
        <w:snapToGrid w:val="0"/>
        <w:spacing w:line="60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（三）65周岁以下，身体健康，能够胜任工作；</w:t>
      </w:r>
    </w:p>
    <w:p>
      <w:pPr>
        <w:snapToGrid w:val="0"/>
        <w:spacing w:line="60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（四）熟练掌握国内外知识产权相关政策、法律法规和其他规定，</w:t>
      </w:r>
      <w:r>
        <w:rPr>
          <w:rFonts w:hint="eastAsia" w:ascii="仿宋_GB2312" w:hAnsi="Arial" w:eastAsia="仿宋_GB2312" w:cs="Arial"/>
          <w:color w:val="000000" w:themeColor="text1"/>
          <w:kern w:val="0"/>
          <w:sz w:val="32"/>
          <w:szCs w:val="32"/>
          <w14:textFill>
            <w14:solidFill>
              <w14:schemeClr w14:val="tx1"/>
            </w14:solidFill>
          </w14:textFill>
        </w:rPr>
        <w:t>服务深圳知识产权事业；</w:t>
      </w:r>
    </w:p>
    <w:p>
      <w:pPr>
        <w:snapToGrid w:val="0"/>
        <w:spacing w:line="60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（五）自愿承担相关保密义务，自觉遵守本办法规定，无违法和违反本办法等记录。</w:t>
      </w:r>
    </w:p>
    <w:p>
      <w:pPr>
        <w:snapToGrid w:val="0"/>
        <w:spacing w:line="600" w:lineRule="exact"/>
        <w:ind w:firstLine="64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技术类专家特别优秀的，根据工作需要，经市知识产权主管部门审批同意，可不受本条第一款第二项规定的专业职称条件限制。</w:t>
      </w:r>
      <w:bookmarkStart w:id="1" w:name="OLE_LINK38"/>
    </w:p>
    <w:p>
      <w:pPr>
        <w:snapToGrid w:val="0"/>
        <w:spacing w:line="60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存在特别情形的</w:t>
      </w:r>
      <w:bookmarkEnd w:id="1"/>
      <w:r>
        <w:rPr>
          <w:rFonts w:hint="eastAsia" w:ascii="仿宋_GB2312" w:eastAsia="仿宋_GB2312"/>
          <w:color w:val="000000" w:themeColor="text1"/>
          <w:sz w:val="32"/>
          <w:szCs w:val="32"/>
          <w14:textFill>
            <w14:solidFill>
              <w14:schemeClr w14:val="tx1"/>
            </w14:solidFill>
          </w14:textFill>
        </w:rPr>
        <w:t>，根据工作需要，经市知识产权主管部门审批同意，可不受本条第一款第三项规定的年龄条件限制。</w:t>
      </w:r>
    </w:p>
    <w:p>
      <w:pPr>
        <w:snapToGrid w:val="0"/>
        <w:spacing w:line="60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符合本条第一款规定的条件，且在企业从事知识产权管理或者技术研发工作累计十年以上的高管人员优先考虑。</w:t>
      </w:r>
    </w:p>
    <w:p>
      <w:pPr>
        <w:snapToGrid w:val="0"/>
        <w:spacing w:line="60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kern w:val="0"/>
          <w:sz w:val="32"/>
          <w:szCs w:val="32"/>
          <w14:textFill>
            <w14:solidFill>
              <w14:schemeClr w14:val="tx1"/>
            </w14:solidFill>
          </w14:textFill>
        </w:rPr>
        <w:t xml:space="preserve">第六条 </w:t>
      </w:r>
      <w:r>
        <w:rPr>
          <w:rFonts w:hint="eastAsia" w:ascii="仿宋_GB2312" w:eastAsia="仿宋_GB2312"/>
          <w:color w:val="000000" w:themeColor="text1"/>
          <w:sz w:val="32"/>
          <w:szCs w:val="32"/>
          <w14:textFill>
            <w14:solidFill>
              <w14:schemeClr w14:val="tx1"/>
            </w14:solidFill>
          </w14:textFill>
        </w:rPr>
        <w:t>专家入库按照公开征集、个人自愿报名或单位推荐、资格审核、审核结果公示、入库等程序进行。</w:t>
      </w:r>
    </w:p>
    <w:p>
      <w:pPr>
        <w:snapToGrid w:val="0"/>
        <w:spacing w:line="60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专家入库具体包括如下程序：</w:t>
      </w:r>
    </w:p>
    <w:p>
      <w:pPr>
        <w:snapToGrid w:val="0"/>
        <w:spacing w:line="60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向</w:t>
      </w:r>
      <w:r>
        <w:rPr>
          <w:rFonts w:ascii="仿宋_GB2312" w:eastAsia="仿宋_GB2312"/>
          <w:color w:val="000000" w:themeColor="text1"/>
          <w:sz w:val="32"/>
          <w:szCs w:val="32"/>
          <w14:textFill>
            <w14:solidFill>
              <w14:schemeClr w14:val="tx1"/>
            </w14:solidFill>
          </w14:textFill>
        </w:rPr>
        <w:t>社会</w:t>
      </w:r>
      <w:r>
        <w:rPr>
          <w:rFonts w:hint="eastAsia" w:ascii="仿宋_GB2312" w:eastAsia="仿宋_GB2312"/>
          <w:color w:val="000000" w:themeColor="text1"/>
          <w:sz w:val="32"/>
          <w:szCs w:val="32"/>
          <w14:textFill>
            <w14:solidFill>
              <w14:schemeClr w14:val="tx1"/>
            </w14:solidFill>
          </w14:textFill>
        </w:rPr>
        <w:t>公</w:t>
      </w:r>
      <w:r>
        <w:rPr>
          <w:rFonts w:ascii="仿宋_GB2312" w:eastAsia="仿宋_GB2312"/>
          <w:color w:val="000000" w:themeColor="text1"/>
          <w:sz w:val="32"/>
          <w:szCs w:val="32"/>
          <w14:textFill>
            <w14:solidFill>
              <w14:schemeClr w14:val="tx1"/>
            </w14:solidFill>
          </w14:textFill>
        </w:rPr>
        <w:t>开</w:t>
      </w:r>
      <w:r>
        <w:rPr>
          <w:rFonts w:hint="eastAsia" w:ascii="仿宋_GB2312" w:eastAsia="仿宋_GB2312"/>
          <w:color w:val="000000" w:themeColor="text1"/>
          <w:sz w:val="32"/>
          <w:szCs w:val="32"/>
          <w14:textFill>
            <w14:solidFill>
              <w14:schemeClr w14:val="tx1"/>
            </w14:solidFill>
          </w14:textFill>
        </w:rPr>
        <w:t>征</w:t>
      </w:r>
      <w:r>
        <w:rPr>
          <w:rFonts w:ascii="仿宋_GB2312" w:eastAsia="仿宋_GB2312"/>
          <w:color w:val="000000" w:themeColor="text1"/>
          <w:sz w:val="32"/>
          <w:szCs w:val="32"/>
          <w14:textFill>
            <w14:solidFill>
              <w14:schemeClr w14:val="tx1"/>
            </w14:solidFill>
          </w14:textFill>
        </w:rPr>
        <w:t>集</w:t>
      </w:r>
      <w:r>
        <w:rPr>
          <w:rFonts w:hint="eastAsia" w:ascii="仿宋_GB2312" w:eastAsia="仿宋_GB2312"/>
          <w:color w:val="000000" w:themeColor="text1"/>
          <w:sz w:val="32"/>
          <w:szCs w:val="32"/>
          <w14:textFill>
            <w14:solidFill>
              <w14:schemeClr w14:val="tx1"/>
            </w14:solidFill>
          </w14:textFill>
        </w:rPr>
        <w:t>；</w:t>
      </w:r>
    </w:p>
    <w:p>
      <w:pPr>
        <w:snapToGrid w:val="0"/>
        <w:spacing w:line="60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有关高等院校、科研院所、专业技术协会、企事业单位、行政机关等单位推荐或个人申报：申报人在市知识产权主管部门网站登录“深圳市知识产权专家库平台”，填报《深圳市知识产权主管部门知识产权专家入库申请表》，并向市知识产权主管部门提交相关证明材料</w:t>
      </w:r>
      <w:bookmarkStart w:id="2" w:name="OLE_LINK41"/>
      <w:r>
        <w:rPr>
          <w:rFonts w:hint="eastAsia" w:ascii="仿宋_GB2312" w:eastAsia="仿宋_GB2312"/>
          <w:color w:val="000000" w:themeColor="text1"/>
          <w:sz w:val="32"/>
          <w:szCs w:val="32"/>
          <w14:textFill>
            <w14:solidFill>
              <w14:schemeClr w14:val="tx1"/>
            </w14:solidFill>
          </w14:textFill>
        </w:rPr>
        <w:t>，</w:t>
      </w:r>
      <w:bookmarkStart w:id="3" w:name="OLE_LINK55"/>
      <w:r>
        <w:rPr>
          <w:rFonts w:hint="eastAsia" w:ascii="仿宋_GB2312" w:eastAsia="仿宋_GB2312"/>
          <w:color w:val="000000" w:themeColor="text1"/>
          <w:sz w:val="32"/>
          <w:szCs w:val="32"/>
          <w14:textFill>
            <w14:solidFill>
              <w14:schemeClr w14:val="tx1"/>
            </w14:solidFill>
          </w14:textFill>
        </w:rPr>
        <w:t>必要时，市知识产权主管部门可审核申报人证明材料原件</w:t>
      </w:r>
      <w:bookmarkEnd w:id="2"/>
      <w:bookmarkEnd w:id="3"/>
      <w:r>
        <w:rPr>
          <w:rFonts w:hint="eastAsia" w:ascii="仿宋_GB2312" w:eastAsia="仿宋_GB2312"/>
          <w:color w:val="000000" w:themeColor="text1"/>
          <w:sz w:val="32"/>
          <w:szCs w:val="32"/>
          <w14:textFill>
            <w14:solidFill>
              <w14:schemeClr w14:val="tx1"/>
            </w14:solidFill>
          </w14:textFill>
        </w:rPr>
        <w:t>；</w:t>
      </w:r>
    </w:p>
    <w:p>
      <w:pPr>
        <w:snapToGrid w:val="0"/>
        <w:spacing w:line="60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w:t>
      </w:r>
      <w:r>
        <w:rPr>
          <w:rFonts w:hint="eastAsia" w:ascii="仿宋_GB2312" w:hAnsi="仿宋" w:eastAsia="仿宋_GB2312"/>
          <w:color w:val="000000" w:themeColor="text1"/>
          <w:sz w:val="32"/>
          <w:szCs w:val="32"/>
          <w14:textFill>
            <w14:solidFill>
              <w14:schemeClr w14:val="tx1"/>
            </w14:solidFill>
          </w14:textFill>
        </w:rPr>
        <w:t>市知识产权主管部门根据本办法规定的条件以及其他有关规定</w:t>
      </w:r>
      <w:r>
        <w:rPr>
          <w:rFonts w:hint="eastAsia" w:ascii="仿宋_GB2312" w:eastAsia="仿宋_GB2312"/>
          <w:color w:val="000000" w:themeColor="text1"/>
          <w:sz w:val="32"/>
          <w:szCs w:val="32"/>
          <w14:textFill>
            <w14:solidFill>
              <w14:schemeClr w14:val="tx1"/>
            </w14:solidFill>
          </w14:textFill>
        </w:rPr>
        <w:t>进行资格审查、核实，拟定入库专家候选人名单；</w:t>
      </w:r>
    </w:p>
    <w:p>
      <w:pPr>
        <w:snapToGrid w:val="0"/>
        <w:spacing w:line="60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拟入库专家候选人名单在市知识产权主管部门网站上公示，公示期为5个工作日，公示期内任何单位和个人可实名提出异议，市知识产权主管部门在异议受理之日起10个工作日内作出异议处理决定，并书面告知异议申请人和被异议专家候选人；</w:t>
      </w:r>
    </w:p>
    <w:p>
      <w:pPr>
        <w:snapToGrid w:val="0"/>
        <w:spacing w:line="60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（五）公示无异议的专家予以入库，并在市知识产权主管部门网站公示。</w:t>
      </w: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eastAsia="仿宋_GB2312"/>
          <w:b/>
          <w:color w:val="000000" w:themeColor="text1"/>
          <w:kern w:val="2"/>
          <w:sz w:val="32"/>
          <w:szCs w:val="32"/>
          <w14:textFill>
            <w14:solidFill>
              <w14:schemeClr w14:val="tx1"/>
            </w14:solidFill>
          </w14:textFill>
        </w:rPr>
        <w:t xml:space="preserve">第七条 </w:t>
      </w:r>
      <w:r>
        <w:rPr>
          <w:rFonts w:hint="eastAsia" w:ascii="仿宋_GB2312" w:hAnsi="仿宋" w:eastAsia="仿宋_GB2312"/>
          <w:color w:val="000000" w:themeColor="text1"/>
          <w:sz w:val="32"/>
          <w:szCs w:val="32"/>
          <w14:textFill>
            <w14:solidFill>
              <w14:schemeClr w14:val="tx1"/>
            </w14:solidFill>
          </w14:textFill>
        </w:rPr>
        <w:t>专家具有下列情形之一的，市知识产权主管部门可决定其出库：</w:t>
      </w: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（一）专家不积极履行工作职责或不胜任工作次数达三次以上的；</w:t>
      </w: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（二）专家不服从工作安排导致工作损失或有严重失职行为的；</w:t>
      </w: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（三）因健康等原因主动要求出库的；</w:t>
      </w: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（四）三年内无故不参加专家工作会议和不承担专家工作的；</w:t>
      </w: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（五）公众举报不符合专家资格，经核查属实的；</w:t>
      </w: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（六）从事相关工作时，接受有关单位、个人的馈赠、宴请，利用专家的特殊身份和影响力从事商业活动，或者与议事对象及相关人员串通，为本人或所在单位谋取不正当利益或损害其他单位的利益的；</w:t>
      </w: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（七</w:t>
      </w:r>
      <w:r>
        <w:rPr>
          <w:rFonts w:ascii="仿宋_GB2312" w:hAnsi="仿宋" w:eastAsia="仿宋_GB2312"/>
          <w:color w:val="000000" w:themeColor="text1"/>
          <w:sz w:val="32"/>
          <w:szCs w:val="32"/>
          <w14:textFill>
            <w14:solidFill>
              <w14:schemeClr w14:val="tx1"/>
            </w14:solidFill>
          </w14:textFill>
        </w:rPr>
        <w:t>）法律法规规定的</w:t>
      </w:r>
      <w:r>
        <w:rPr>
          <w:rFonts w:hint="eastAsia" w:ascii="仿宋_GB2312" w:hAnsi="仿宋" w:eastAsia="仿宋_GB2312"/>
          <w:color w:val="000000" w:themeColor="text1"/>
          <w:sz w:val="32"/>
          <w:szCs w:val="32"/>
          <w14:textFill>
            <w14:solidFill>
              <w14:schemeClr w14:val="tx1"/>
            </w14:solidFill>
          </w14:textFill>
        </w:rPr>
        <w:t>其它</w:t>
      </w:r>
      <w:r>
        <w:rPr>
          <w:rFonts w:ascii="仿宋_GB2312" w:hAnsi="仿宋" w:eastAsia="仿宋_GB2312"/>
          <w:color w:val="000000" w:themeColor="text1"/>
          <w:sz w:val="32"/>
          <w:szCs w:val="32"/>
          <w14:textFill>
            <w14:solidFill>
              <w14:schemeClr w14:val="tx1"/>
            </w14:solidFill>
          </w14:textFill>
        </w:rPr>
        <w:t>情形。</w:t>
      </w:r>
    </w:p>
    <w:p>
      <w:pPr>
        <w:pStyle w:val="5"/>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经确认出库的有关人员不得以知识产权主管部门专家库专家身份从事相关活动。</w:t>
      </w:r>
    </w:p>
    <w:p>
      <w:pPr>
        <w:pStyle w:val="5"/>
        <w:spacing w:line="560"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eastAsia="仿宋_GB2312"/>
          <w:b/>
          <w:color w:val="000000" w:themeColor="text1"/>
          <w:kern w:val="2"/>
          <w:sz w:val="32"/>
          <w:szCs w:val="32"/>
          <w14:textFill>
            <w14:solidFill>
              <w14:schemeClr w14:val="tx1"/>
            </w14:solidFill>
          </w14:textFill>
        </w:rPr>
        <w:t xml:space="preserve">第八条 </w:t>
      </w:r>
      <w:r>
        <w:rPr>
          <w:rFonts w:hint="eastAsia" w:ascii="仿宋_GB2312" w:hAnsi="仿宋" w:eastAsia="仿宋_GB2312"/>
          <w:color w:val="000000" w:themeColor="text1"/>
          <w:sz w:val="32"/>
          <w:szCs w:val="32"/>
          <w14:textFill>
            <w14:solidFill>
              <w14:schemeClr w14:val="tx1"/>
            </w14:solidFill>
          </w14:textFill>
        </w:rPr>
        <w:t>专家入库常年接受申请，专家库每年更新一次，不设申报截止时间。</w:t>
      </w:r>
    </w:p>
    <w:p>
      <w:pPr>
        <w:pStyle w:val="5"/>
        <w:spacing w:line="560" w:lineRule="exact"/>
        <w:ind w:firstLine="645"/>
        <w:rPr>
          <w:rFonts w:ascii="仿宋_GB2312" w:hAnsi="仿宋" w:eastAsia="仿宋_GB2312"/>
          <w:color w:val="000000" w:themeColor="text1"/>
          <w:sz w:val="32"/>
          <w:szCs w:val="32"/>
          <w14:textFill>
            <w14:solidFill>
              <w14:schemeClr w14:val="tx1"/>
            </w14:solidFill>
          </w14:textFill>
        </w:rPr>
      </w:pPr>
    </w:p>
    <w:p>
      <w:pPr>
        <w:pStyle w:val="2"/>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专家的权利与义务</w:t>
      </w:r>
    </w:p>
    <w:p>
      <w:pPr>
        <w:pStyle w:val="5"/>
        <w:spacing w:line="560" w:lineRule="exact"/>
        <w:rPr>
          <w:rFonts w:hint="eastAsia" w:ascii="仿宋_GB2312" w:eastAsia="仿宋_GB2312"/>
          <w:b/>
          <w:color w:val="000000" w:themeColor="text1"/>
          <w:kern w:val="2"/>
          <w:sz w:val="32"/>
          <w:szCs w:val="32"/>
          <w14:textFill>
            <w14:solidFill>
              <w14:schemeClr w14:val="tx1"/>
            </w14:solidFill>
          </w14:textFill>
        </w:rPr>
      </w:pPr>
    </w:p>
    <w:p>
      <w:pPr>
        <w:pStyle w:val="5"/>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eastAsia="仿宋_GB2312"/>
          <w:b/>
          <w:color w:val="000000" w:themeColor="text1"/>
          <w:kern w:val="2"/>
          <w:sz w:val="32"/>
          <w:szCs w:val="32"/>
          <w14:textFill>
            <w14:solidFill>
              <w14:schemeClr w14:val="tx1"/>
            </w14:solidFill>
          </w14:textFill>
        </w:rPr>
        <w:t>第九条</w:t>
      </w:r>
      <w:r>
        <w:rPr>
          <w:rFonts w:hint="eastAsia" w:ascii="仿宋_GB2312" w:hAnsi="黑体"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专家可以参加以下活动：</w:t>
      </w:r>
    </w:p>
    <w:p>
      <w:pPr>
        <w:pStyle w:val="5"/>
        <w:spacing w:line="560" w:lineRule="exact"/>
        <w:ind w:firstLine="56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（一）参与研究和拟订地方知识产权法规、规章、政策以及地方、行业和企业知识产权战略；  </w:t>
      </w:r>
    </w:p>
    <w:p>
      <w:pPr>
        <w:pStyle w:val="5"/>
        <w:spacing w:line="560" w:lineRule="exact"/>
        <w:ind w:firstLine="56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（二）参与知识产权项目的评审、评价、评估、评标、评奖、验收，以及知识产权软科学课题研究和政府项目的招投标评审；</w:t>
      </w:r>
    </w:p>
    <w:p>
      <w:pPr>
        <w:pStyle w:val="5"/>
        <w:spacing w:line="560" w:lineRule="exac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（三）参与重大研发、经贸、投资和技术转移活动的知识产权论证和预警研究，为政府知识产权管理和决策提供咨询意见和建议；</w:t>
      </w:r>
    </w:p>
    <w:p>
      <w:pPr>
        <w:pStyle w:val="5"/>
        <w:spacing w:line="560" w:lineRule="exac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（四）参与知识产权侵权判定，疑难知识产权案件或涉外重大知识产权纠纷与争端研究讨论，提出有关有效解决方案的专家建议；</w:t>
      </w:r>
    </w:p>
    <w:p>
      <w:pPr>
        <w:pStyle w:val="5"/>
        <w:spacing w:line="560" w:lineRule="exac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（五）参与知识产权维权援助、信息利用服务和知识产权宣传普及、教育培训活动，为企事业单位知识产权创造、运用、保护和管理以及知识产权文化建设提供公共服务；</w:t>
      </w:r>
    </w:p>
    <w:p>
      <w:pPr>
        <w:pStyle w:val="5"/>
        <w:spacing w:line="560" w:lineRule="exact"/>
        <w:ind w:firstLine="55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（六）参与知识产权国际交流与合作活动；</w:t>
      </w:r>
    </w:p>
    <w:p>
      <w:pPr>
        <w:pStyle w:val="5"/>
        <w:spacing w:line="560" w:lineRule="exact"/>
        <w:ind w:firstLine="555"/>
        <w:rPr>
          <w:rFonts w:ascii="仿宋_GB2312" w:eastAsia="仿宋_GB2312"/>
          <w:b/>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（七）其他需要专家参与的知识产权工作。</w:t>
      </w:r>
    </w:p>
    <w:p>
      <w:pPr>
        <w:snapToGrid w:val="0"/>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第十条 </w:t>
      </w:r>
      <w:r>
        <w:rPr>
          <w:rFonts w:hint="eastAsia" w:ascii="仿宋_GB2312" w:hAnsi="Arial" w:eastAsia="仿宋_GB2312" w:cs="Arial"/>
          <w:color w:val="000000" w:themeColor="text1"/>
          <w:kern w:val="0"/>
          <w:sz w:val="32"/>
          <w:szCs w:val="32"/>
          <w14:textFill>
            <w14:solidFill>
              <w14:schemeClr w14:val="tx1"/>
            </w14:solidFill>
          </w14:textFill>
        </w:rPr>
        <w:t>专家</w:t>
      </w:r>
      <w:r>
        <w:rPr>
          <w:rFonts w:hint="eastAsia" w:ascii="仿宋_GB2312" w:eastAsia="仿宋_GB2312"/>
          <w:color w:val="000000" w:themeColor="text1"/>
          <w:sz w:val="32"/>
          <w:szCs w:val="32"/>
          <w14:textFill>
            <w14:solidFill>
              <w14:schemeClr w14:val="tx1"/>
            </w14:solidFill>
          </w14:textFill>
        </w:rPr>
        <w:t>享有如下权利：</w:t>
      </w:r>
    </w:p>
    <w:p>
      <w:pPr>
        <w:snapToGrid w:val="0"/>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（一）对议事事项和有关行政管理制度规定的知情权；</w:t>
      </w:r>
    </w:p>
    <w:p>
      <w:pPr>
        <w:snapToGrid w:val="0"/>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（二）对咨询方法、评价指标、鉴定方法、研究模式等的建议推荐权；</w:t>
      </w:r>
    </w:p>
    <w:p>
      <w:pPr>
        <w:snapToGrid w:val="0"/>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（三）独立、公正、公平地提出评审或咨询意见，不受任何单位和个人的干预的权利；</w:t>
      </w:r>
    </w:p>
    <w:p>
      <w:pPr>
        <w:snapToGrid w:val="0"/>
        <w:spacing w:line="360" w:lineRule="auto"/>
        <w:ind w:firstLine="645"/>
        <w:rPr>
          <w:rFonts w:ascii="仿宋_GB2312" w:hAnsi="仿宋"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（四）按照有关规定，</w:t>
      </w:r>
      <w:r>
        <w:rPr>
          <w:rFonts w:hint="eastAsia" w:ascii="仿宋_GB2312" w:hAnsi="仿宋" w:eastAsia="仿宋_GB2312"/>
          <w:color w:val="000000" w:themeColor="text1"/>
          <w:kern w:val="0"/>
          <w:sz w:val="32"/>
          <w:szCs w:val="32"/>
          <w14:textFill>
            <w14:solidFill>
              <w14:schemeClr w14:val="tx1"/>
            </w14:solidFill>
          </w14:textFill>
        </w:rPr>
        <w:t>合法获取劳动报酬的权利；</w:t>
      </w:r>
    </w:p>
    <w:p>
      <w:pPr>
        <w:snapToGrid w:val="0"/>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（五）其他依法享有的权利。</w:t>
      </w:r>
    </w:p>
    <w:p>
      <w:pPr>
        <w:snapToGrid w:val="0"/>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第十一条 </w:t>
      </w:r>
      <w:r>
        <w:rPr>
          <w:rFonts w:hint="eastAsia" w:ascii="仿宋_GB2312" w:hAnsi="Arial" w:eastAsia="仿宋_GB2312" w:cs="Arial"/>
          <w:color w:val="000000" w:themeColor="text1"/>
          <w:kern w:val="0"/>
          <w:sz w:val="32"/>
          <w:szCs w:val="32"/>
          <w14:textFill>
            <w14:solidFill>
              <w14:schemeClr w14:val="tx1"/>
            </w14:solidFill>
          </w14:textFill>
        </w:rPr>
        <w:t>专家应当</w:t>
      </w:r>
      <w:r>
        <w:rPr>
          <w:rFonts w:hint="eastAsia" w:ascii="仿宋_GB2312" w:eastAsia="仿宋_GB2312"/>
          <w:color w:val="000000" w:themeColor="text1"/>
          <w:sz w:val="32"/>
          <w:szCs w:val="32"/>
          <w14:textFill>
            <w14:solidFill>
              <w14:schemeClr w14:val="tx1"/>
            </w14:solidFill>
          </w14:textFill>
        </w:rPr>
        <w:t>承担如下义务：</w:t>
      </w:r>
    </w:p>
    <w:p>
      <w:pPr>
        <w:snapToGrid w:val="0"/>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（一）按照科学、严谨、客观、公正的原则进行知识产权咨询、评审活动，严格执行市知识产权主管部门咨询、评审文件的要求和标准，按时提供真实、公正、严谨的咨询、评审意见或结论；</w:t>
      </w:r>
    </w:p>
    <w:p>
      <w:pPr>
        <w:snapToGrid w:val="0"/>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（二）自觉遵守国家法律、法规和咨询、评审工作纪律，保守参加结果和对象的有关</w:t>
      </w:r>
      <w:bookmarkStart w:id="4" w:name="OLE_LINK42"/>
      <w:r>
        <w:rPr>
          <w:rFonts w:hint="eastAsia" w:ascii="仿宋_GB2312" w:eastAsia="仿宋_GB2312"/>
          <w:color w:val="000000" w:themeColor="text1"/>
          <w:sz w:val="32"/>
          <w:szCs w:val="32"/>
          <w14:textFill>
            <w14:solidFill>
              <w14:schemeClr w14:val="tx1"/>
            </w14:solidFill>
          </w14:textFill>
        </w:rPr>
        <w:t>国家秘密、</w:t>
      </w:r>
      <w:bookmarkEnd w:id="4"/>
      <w:r>
        <w:rPr>
          <w:rFonts w:hint="eastAsia" w:ascii="仿宋_GB2312" w:eastAsia="仿宋_GB2312"/>
          <w:color w:val="000000" w:themeColor="text1"/>
          <w:sz w:val="32"/>
          <w:szCs w:val="32"/>
          <w14:textFill>
            <w14:solidFill>
              <w14:schemeClr w14:val="tx1"/>
            </w14:solidFill>
          </w14:textFill>
        </w:rPr>
        <w:t>商业秘密和个人隐私，不得擅自披露、使用或许可他人使用有关国家秘密、商业秘密和个人隐私，自觉保护他人知识产权和其他权利；</w:t>
      </w:r>
    </w:p>
    <w:p>
      <w:pPr>
        <w:snapToGrid w:val="0"/>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（三）自觉遵守专家库管理制度，准时参加承担的咨询、评审等活动，因故不能参加的，应及时提前告知活动组织者；项目人选一经确定，不得自行更换；</w:t>
      </w:r>
    </w:p>
    <w:p>
      <w:pPr>
        <w:snapToGrid w:val="0"/>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（四）与议事对象和议事项目存在利害关系的，自觉回避；</w:t>
      </w:r>
    </w:p>
    <w:p>
      <w:pPr>
        <w:snapToGrid w:val="0"/>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（五）从事议事工作时，不得接受有关单位、个人的馈赠、宴请，不得利用专家的特殊身份和影响力从事商业活动，或者与议事对象及相关人员串通，为本人或所在单位谋取不正当利益或损害其他单位的利益；</w:t>
      </w:r>
    </w:p>
    <w:p>
      <w:pPr>
        <w:snapToGrid w:val="0"/>
        <w:spacing w:line="360" w:lineRule="auto"/>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（六）其他依法应当承担的义务。</w:t>
      </w:r>
    </w:p>
    <w:p>
      <w:pPr>
        <w:snapToGrid w:val="0"/>
        <w:spacing w:line="360" w:lineRule="auto"/>
        <w:ind w:firstLine="645"/>
        <w:rPr>
          <w:rFonts w:ascii="黑体" w:eastAsia="黑体"/>
          <w:color w:val="000000" w:themeColor="text1"/>
          <w:sz w:val="32"/>
          <w:szCs w:val="32"/>
          <w14:textFill>
            <w14:solidFill>
              <w14:schemeClr w14:val="tx1"/>
            </w14:solidFill>
          </w14:textFill>
        </w:rPr>
      </w:pPr>
    </w:p>
    <w:p>
      <w:pPr>
        <w:snapToGrid w:val="0"/>
        <w:spacing w:afterLines="50" w:line="60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第四章 专家库使用</w:t>
      </w:r>
    </w:p>
    <w:p>
      <w:pPr>
        <w:pStyle w:val="5"/>
        <w:spacing w:line="560" w:lineRule="exact"/>
        <w:ind w:firstLine="645"/>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第十二条</w:t>
      </w:r>
      <w:r>
        <w:rPr>
          <w:rFonts w:hint="eastAsia" w:ascii="仿宋_GB2312" w:hAnsi="仿宋" w:eastAsia="仿宋_GB2312"/>
          <w:color w:val="000000" w:themeColor="text1"/>
          <w:sz w:val="32"/>
          <w:szCs w:val="32"/>
          <w14:textFill>
            <w14:solidFill>
              <w14:schemeClr w14:val="tx1"/>
            </w14:solidFill>
          </w14:textFill>
        </w:rPr>
        <w:t xml:space="preserve"> 专家库长期开放，供市知识产权主管部门内部各相关部门使用。</w:t>
      </w:r>
    </w:p>
    <w:p>
      <w:pPr>
        <w:pStyle w:val="5"/>
        <w:spacing w:line="560" w:lineRule="exact"/>
        <w:ind w:firstLine="643" w:firstLineChars="200"/>
        <w:rPr>
          <w:rFonts w:ascii="黑体" w:eastAsia="黑体"/>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第十三条 </w:t>
      </w:r>
      <w:r>
        <w:rPr>
          <w:rFonts w:hint="eastAsia" w:ascii="仿宋_GB2312" w:hAnsi="仿宋" w:eastAsia="仿宋_GB2312"/>
          <w:color w:val="000000" w:themeColor="text1"/>
          <w:sz w:val="32"/>
          <w:szCs w:val="32"/>
          <w14:textFill>
            <w14:solidFill>
              <w14:schemeClr w14:val="tx1"/>
            </w14:solidFill>
          </w14:textFill>
        </w:rPr>
        <w:t>市知识产权主管部门制定政策以及开展立法、项目评审、咨询、论证、鉴定、培训、研讨等有关活动，需要专家参与的，优先从专家库中选用专家。</w:t>
      </w: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eastAsia="仿宋_GB2312"/>
          <w:b/>
          <w:color w:val="000000" w:themeColor="text1"/>
          <w:kern w:val="2"/>
          <w:sz w:val="32"/>
          <w:szCs w:val="32"/>
          <w14:textFill>
            <w14:solidFill>
              <w14:schemeClr w14:val="tx1"/>
            </w14:solidFill>
          </w14:textFill>
        </w:rPr>
        <w:t xml:space="preserve">第十四条 </w:t>
      </w:r>
      <w:r>
        <w:rPr>
          <w:rFonts w:hint="eastAsia" w:ascii="仿宋_GB2312" w:hAnsi="仿宋" w:eastAsia="仿宋_GB2312"/>
          <w:color w:val="000000" w:themeColor="text1"/>
          <w:sz w:val="32"/>
          <w:szCs w:val="32"/>
          <w14:textFill>
            <w14:solidFill>
              <w14:schemeClr w14:val="tx1"/>
            </w14:solidFill>
          </w14:textFill>
        </w:rPr>
        <w:t>承担相关工作的专家通过专家库内随机抽取方式取得。</w:t>
      </w: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抽取出来的专家视工作需求，在工作任期内一次或多次使用。</w:t>
      </w: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eastAsia="仿宋_GB2312"/>
          <w:b/>
          <w:color w:val="000000" w:themeColor="text1"/>
          <w:kern w:val="2"/>
          <w:sz w:val="32"/>
          <w:szCs w:val="32"/>
          <w14:textFill>
            <w14:solidFill>
              <w14:schemeClr w14:val="tx1"/>
            </w14:solidFill>
          </w14:textFill>
        </w:rPr>
        <w:t>第十五条</w:t>
      </w:r>
      <w:r>
        <w:rPr>
          <w:rFonts w:ascii="仿宋_GB2312" w:eastAsia="仿宋_GB2312"/>
          <w:b/>
          <w:color w:val="000000" w:themeColor="text1"/>
          <w:kern w:val="2"/>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专家抽取应包含以下程序：</w:t>
      </w: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（一）提出需求：使用专家的部门就工作任务要求的专家条件和数量提出需求；</w:t>
      </w: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（二）设定条件：按照工作任务要求，设定专业要求和数量等条件，作为专家抽取设定条件；</w:t>
      </w: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（三）抽取专家：使用部门从专家库中随机抽取专家，形成候选专家名单；</w:t>
      </w: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（四）确定专家：使用部门与候选专家联系，确定其是否可以参加专家工作；若有专家无法参加工作导致专家数量未达到相关任务要求，专家数量不足部分再从专家库中随机抽取，直到符合工作需求。</w:t>
      </w:r>
    </w:p>
    <w:p>
      <w:pPr>
        <w:snapToGrid w:val="0"/>
        <w:spacing w:line="600" w:lineRule="exact"/>
        <w:ind w:firstLine="645"/>
        <w:rPr>
          <w:rFonts w:ascii="仿宋_GB2312" w:eastAsia="仿宋_GB2312"/>
          <w:b/>
          <w:color w:val="000000" w:themeColor="text1"/>
          <w:kern w:val="2"/>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第十六条</w:t>
      </w:r>
      <w:r>
        <w:rPr>
          <w:rFonts w:hint="eastAsia" w:ascii="仿宋_GB2312" w:eastAsia="仿宋_GB2312"/>
          <w:color w:val="000000" w:themeColor="text1"/>
          <w:sz w:val="32"/>
          <w:szCs w:val="32"/>
          <w14:textFill>
            <w14:solidFill>
              <w14:schemeClr w14:val="tx1"/>
            </w14:solidFill>
          </w14:textFill>
        </w:rPr>
        <w:t xml:space="preserve"> 市知识产权主管部门定期组织或委托有关机构组织召开专家工作会议。根据需要，针对特定专业问题或重大议事事项，可临时召开专家专门工作会议。</w:t>
      </w:r>
    </w:p>
    <w:p>
      <w:pPr>
        <w:pStyle w:val="5"/>
        <w:spacing w:line="560" w:lineRule="exact"/>
        <w:ind w:firstLine="640"/>
        <w:jc w:val="left"/>
        <w:rPr>
          <w:rFonts w:ascii="仿宋_GB2312" w:hAnsi="仿宋" w:eastAsia="仿宋_GB2312"/>
          <w:color w:val="000000" w:themeColor="text1"/>
          <w:sz w:val="32"/>
          <w:szCs w:val="32"/>
          <w14:textFill>
            <w14:solidFill>
              <w14:schemeClr w14:val="tx1"/>
            </w14:solidFill>
          </w14:textFill>
        </w:rPr>
      </w:pPr>
      <w:r>
        <w:rPr>
          <w:rFonts w:hint="eastAsia" w:ascii="仿宋_GB2312" w:eastAsia="仿宋_GB2312"/>
          <w:b/>
          <w:color w:val="000000" w:themeColor="text1"/>
          <w:kern w:val="2"/>
          <w:sz w:val="32"/>
          <w:szCs w:val="32"/>
          <w14:textFill>
            <w14:solidFill>
              <w14:schemeClr w14:val="tx1"/>
            </w14:solidFill>
          </w14:textFill>
        </w:rPr>
        <w:t xml:space="preserve">第十七条 </w:t>
      </w:r>
      <w:r>
        <w:rPr>
          <w:rFonts w:hint="eastAsia" w:ascii="仿宋_GB2312" w:hAnsi="仿宋" w:eastAsia="仿宋_GB2312"/>
          <w:color w:val="000000" w:themeColor="text1"/>
          <w:sz w:val="32"/>
          <w:szCs w:val="32"/>
          <w14:textFill>
            <w14:solidFill>
              <w14:schemeClr w14:val="tx1"/>
            </w14:solidFill>
          </w14:textFill>
        </w:rPr>
        <w:t xml:space="preserve"> 专家承担工作项目，可采取会面或书面工作的方式。根据工作实际，可采取召开专家论证会或电话、电子邮件咨询等工作方式，但应做好记录等工作。</w:t>
      </w:r>
    </w:p>
    <w:p>
      <w:pPr>
        <w:pStyle w:val="5"/>
        <w:spacing w:line="560" w:lineRule="exact"/>
        <w:ind w:firstLine="64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采取书面方式开展工作的，市知识产权主管部门应自收到相关单位申请之日起五日内，在专家库内抽取相关专家，并将有关材料送达有关专家，使之了解工作内容及要求，并与有关专家商定完成工作的期限。有关专家应对工作内容及要求进行认真研究，制作书面答复意见或建议，并签字确认。</w:t>
      </w: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p>
    <w:p>
      <w:pPr>
        <w:snapToGrid w:val="0"/>
        <w:spacing w:afterLines="50" w:line="60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第五章 监督管理</w:t>
      </w:r>
    </w:p>
    <w:p>
      <w:pPr>
        <w:pStyle w:val="5"/>
        <w:shd w:val="clear" w:color="auto" w:fill="FFFFFF"/>
        <w:spacing w:line="560" w:lineRule="exact"/>
        <w:jc w:val="left"/>
        <w:rPr>
          <w:rFonts w:ascii="仿宋_GB2312" w:hAnsi="仿宋" w:eastAsia="仿宋_GB2312"/>
          <w:color w:val="000000" w:themeColor="text1"/>
          <w:sz w:val="32"/>
          <w:szCs w:val="32"/>
          <w14:textFill>
            <w14:solidFill>
              <w14:schemeClr w14:val="tx1"/>
            </w14:solidFill>
          </w14:textFill>
        </w:rPr>
      </w:pPr>
    </w:p>
    <w:p>
      <w:pPr>
        <w:pStyle w:val="5"/>
        <w:shd w:val="clear" w:color="auto" w:fill="FFFFFF"/>
        <w:spacing w:line="560" w:lineRule="exact"/>
        <w:ind w:firstLine="560"/>
        <w:jc w:val="left"/>
        <w:rPr>
          <w:rFonts w:ascii="仿宋_GB2312" w:hAnsi="仿宋" w:eastAsia="仿宋_GB2312"/>
          <w:color w:val="000000" w:themeColor="text1"/>
          <w:sz w:val="32"/>
          <w:szCs w:val="32"/>
          <w14:textFill>
            <w14:solidFill>
              <w14:schemeClr w14:val="tx1"/>
            </w14:solidFill>
          </w14:textFill>
        </w:rPr>
      </w:pPr>
      <w:r>
        <w:rPr>
          <w:rFonts w:hint="eastAsia" w:ascii="仿宋_GB2312" w:eastAsia="仿宋_GB2312"/>
          <w:b/>
          <w:color w:val="000000" w:themeColor="text1"/>
          <w:kern w:val="2"/>
          <w:sz w:val="32"/>
          <w:szCs w:val="32"/>
          <w14:textFill>
            <w14:solidFill>
              <w14:schemeClr w14:val="tx1"/>
            </w14:solidFill>
          </w14:textFill>
        </w:rPr>
        <w:t>第十八条</w:t>
      </w:r>
      <w:r>
        <w:rPr>
          <w:rFonts w:ascii="仿宋_GB2312" w:hAnsi="仿宋" w:eastAsia="仿宋_GB2312"/>
          <w:color w:val="000000" w:themeColor="text1"/>
          <w:sz w:val="32"/>
          <w:szCs w:val="32"/>
          <w14:textFill>
            <w14:solidFill>
              <w14:schemeClr w14:val="tx1"/>
            </w14:solidFill>
          </w14:textFill>
        </w:rPr>
        <w:t xml:space="preserve">  市知识产权主管部门负责对专家库使用行为的监督，加强对使用专家库的管理，保障专家库及专家的信息安全，严禁私自复制、下载、泄露</w:t>
      </w:r>
      <w:r>
        <w:rPr>
          <w:rFonts w:hint="eastAsia" w:ascii="仿宋_GB2312" w:hAnsi="仿宋" w:eastAsia="仿宋_GB2312"/>
          <w:color w:val="000000" w:themeColor="text1"/>
          <w:sz w:val="32"/>
          <w:szCs w:val="32"/>
          <w14:textFill>
            <w14:solidFill>
              <w14:schemeClr w14:val="tx1"/>
            </w14:solidFill>
          </w14:textFill>
        </w:rPr>
        <w:t>专家库及专家相关信息等行为。</w:t>
      </w:r>
    </w:p>
    <w:p>
      <w:pPr>
        <w:pStyle w:val="5"/>
        <w:shd w:val="clear" w:color="auto" w:fill="FFFFFF"/>
        <w:spacing w:line="560" w:lineRule="exact"/>
        <w:ind w:firstLine="56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kern w:val="2"/>
          <w:sz w:val="32"/>
          <w:szCs w:val="32"/>
          <w14:textFill>
            <w14:solidFill>
              <w14:schemeClr w14:val="tx1"/>
            </w14:solidFill>
          </w14:textFill>
        </w:rPr>
        <w:t xml:space="preserve">第十九条 </w:t>
      </w:r>
      <w:r>
        <w:rPr>
          <w:rFonts w:hint="eastAsia" w:ascii="仿宋_GB2312" w:eastAsia="仿宋_GB2312"/>
          <w:color w:val="000000" w:themeColor="text1"/>
          <w:sz w:val="32"/>
          <w:szCs w:val="32"/>
          <w14:textFill>
            <w14:solidFill>
              <w14:schemeClr w14:val="tx1"/>
            </w14:solidFill>
          </w14:textFill>
        </w:rPr>
        <w:t>专家依照本办法的规定应当回避而未回避的，由市知识产权主管部门责令其回避，并记录在案。</w:t>
      </w:r>
    </w:p>
    <w:p>
      <w:pPr>
        <w:snapToGrid w:val="0"/>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kern w:val="0"/>
          <w:sz w:val="32"/>
          <w:szCs w:val="32"/>
          <w14:textFill>
            <w14:solidFill>
              <w14:schemeClr w14:val="tx1"/>
            </w14:solidFill>
          </w14:textFill>
        </w:rPr>
        <w:t>市知识产权主管部门工作人员违反法律、法规、规章和本办法有关规定的，由市知识产权主管部门按照纪律监察法规等有关规定处理；</w:t>
      </w:r>
      <w:r>
        <w:rPr>
          <w:rFonts w:hint="eastAsia" w:ascii="仿宋_GB2312" w:eastAsia="仿宋_GB2312"/>
          <w:color w:val="000000" w:themeColor="text1"/>
          <w:sz w:val="32"/>
          <w:szCs w:val="32"/>
          <w14:textFill>
            <w14:solidFill>
              <w14:schemeClr w14:val="tx1"/>
            </w14:solidFill>
          </w14:textFill>
        </w:rPr>
        <w:t>专家违反法律、法规、规章和本办法有关规定，或者有关人员经确认出库后仍以专家名义活动的，依法予以处理。</w:t>
      </w:r>
    </w:p>
    <w:p>
      <w:pPr>
        <w:snapToGrid w:val="0"/>
        <w:spacing w:line="600" w:lineRule="exact"/>
        <w:rPr>
          <w:rFonts w:ascii="仿宋_GB2312" w:eastAsia="仿宋_GB2312"/>
          <w:color w:val="000000" w:themeColor="text1"/>
          <w:sz w:val="32"/>
          <w:szCs w:val="32"/>
          <w14:textFill>
            <w14:solidFill>
              <w14:schemeClr w14:val="tx1"/>
            </w14:solidFill>
          </w14:textFill>
        </w:rPr>
      </w:pPr>
    </w:p>
    <w:p>
      <w:pPr>
        <w:snapToGrid w:val="0"/>
        <w:spacing w:beforeLines="50" w:afterLines="50" w:line="60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第六章 附则</w:t>
      </w:r>
    </w:p>
    <w:p>
      <w:pPr>
        <w:snapToGrid w:val="0"/>
        <w:spacing w:line="600" w:lineRule="exact"/>
        <w:ind w:firstLine="646"/>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第二十条 </w:t>
      </w:r>
      <w:r>
        <w:rPr>
          <w:rFonts w:hint="eastAsia" w:ascii="仿宋_GB2312" w:eastAsia="仿宋_GB2312"/>
          <w:color w:val="000000" w:themeColor="text1"/>
          <w:sz w:val="32"/>
          <w:szCs w:val="32"/>
          <w14:textFill>
            <w14:solidFill>
              <w14:schemeClr w14:val="tx1"/>
            </w14:solidFill>
          </w14:textFill>
        </w:rPr>
        <w:t>本办法由市知识产权主管部门负责解释。</w:t>
      </w:r>
    </w:p>
    <w:p>
      <w:pPr>
        <w:snapToGrid w:val="0"/>
        <w:spacing w:line="600" w:lineRule="exact"/>
        <w:ind w:firstLine="646"/>
        <w:rPr>
          <w:rFonts w:ascii="仿宋_GB2312" w:eastAsia="仿宋_GB2312"/>
          <w:color w:val="000000" w:themeColor="text1"/>
          <w:sz w:val="32"/>
          <w:szCs w:val="32"/>
          <w14:textFill>
            <w14:solidFill>
              <w14:schemeClr w14:val="tx1"/>
            </w14:solidFill>
          </w14:textFill>
        </w:rPr>
      </w:pPr>
      <w:bookmarkStart w:id="5" w:name="_GoBack"/>
      <w:bookmarkEnd w:id="5"/>
      <w:r>
        <w:rPr>
          <w:rFonts w:hint="eastAsia" w:ascii="仿宋_GB2312" w:eastAsia="仿宋_GB2312"/>
          <w:b/>
          <w:color w:val="000000" w:themeColor="text1"/>
          <w:sz w:val="32"/>
          <w:szCs w:val="32"/>
          <w14:textFill>
            <w14:solidFill>
              <w14:schemeClr w14:val="tx1"/>
            </w14:solidFill>
          </w14:textFill>
        </w:rPr>
        <w:t xml:space="preserve">第二十一条 </w:t>
      </w:r>
      <w:r>
        <w:rPr>
          <w:rFonts w:hint="eastAsia" w:ascii="仿宋_GB2312" w:eastAsia="仿宋_GB2312"/>
          <w:color w:val="000000" w:themeColor="text1"/>
          <w:sz w:val="32"/>
          <w:szCs w:val="32"/>
          <w14:textFill>
            <w14:solidFill>
              <w14:schemeClr w14:val="tx1"/>
            </w14:solidFill>
          </w14:textFill>
        </w:rPr>
        <w:t>本办法自2019年6月6日起实施，有效期三年。</w:t>
      </w:r>
    </w:p>
    <w:p>
      <w:pPr>
        <w:ind w:firstLine="420" w:firstLineChars="20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9625F"/>
    <w:rsid w:val="02135AE2"/>
    <w:rsid w:val="35332728"/>
    <w:rsid w:val="49596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5">
    <w:name w:val="p18"/>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2020-06-30T06:51:00Z</dcterms:created>
  <dc:creator>赖晓</dc:creator>
  <cp:lastModifiedBy>马晓婧</cp:lastModifiedBy>
  <dcterms:modified xsi:type="dcterms:W3CDTF">2021-09-23T08:33:33Z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