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仿宋" w:hAnsi="仿宋" w:eastAsia="仿宋"/>
          <w:color w:val="000000"/>
          <w:sz w:val="32"/>
          <w:szCs w:val="32"/>
        </w:rPr>
      </w:pPr>
      <w:r>
        <w:rPr>
          <w:rFonts w:hint="eastAsia" w:ascii="仿宋" w:hAnsi="仿宋" w:eastAsia="仿宋"/>
          <w:color w:val="000000"/>
          <w:sz w:val="32"/>
          <w:szCs w:val="32"/>
        </w:rPr>
        <w:t>附件1</w:t>
      </w:r>
    </w:p>
    <w:p>
      <w:pPr>
        <w:spacing w:line="640" w:lineRule="exact"/>
        <w:ind w:firstLine="903" w:firstLineChars="198"/>
        <w:jc w:val="center"/>
        <w:rPr>
          <w:rFonts w:hint="eastAsia" w:ascii="华文中宋" w:hAnsi="华文中宋" w:eastAsia="华文中宋" w:cs="华文中宋"/>
          <w:b/>
          <w:vanish/>
          <w:color w:val="000000"/>
          <w:spacing w:val="8"/>
          <w:kern w:val="0"/>
          <w:sz w:val="44"/>
          <w:szCs w:val="44"/>
        </w:rPr>
      </w:pPr>
    </w:p>
    <w:p>
      <w:pPr>
        <w:spacing w:line="640" w:lineRule="exact"/>
        <w:ind w:firstLine="903" w:firstLineChars="198"/>
        <w:jc w:val="center"/>
        <w:rPr>
          <w:rFonts w:hint="eastAsia" w:ascii="华文中宋" w:hAnsi="华文中宋" w:eastAsia="华文中宋" w:cs="华文中宋"/>
          <w:b/>
          <w:vanish/>
          <w:color w:val="000000"/>
          <w:spacing w:val="8"/>
          <w:kern w:val="0"/>
          <w:sz w:val="44"/>
          <w:szCs w:val="44"/>
        </w:rPr>
      </w:pPr>
    </w:p>
    <w:p>
      <w:pPr>
        <w:spacing w:line="640" w:lineRule="exact"/>
        <w:ind w:firstLine="903" w:firstLineChars="198"/>
        <w:jc w:val="center"/>
        <w:rPr>
          <w:rFonts w:hint="eastAsia" w:ascii="华文中宋" w:hAnsi="华文中宋" w:eastAsia="华文中宋" w:cs="华文中宋"/>
          <w:b/>
          <w:vanish/>
          <w:color w:val="000000"/>
          <w:spacing w:val="8"/>
          <w:kern w:val="0"/>
          <w:sz w:val="44"/>
          <w:szCs w:val="44"/>
        </w:rPr>
      </w:pPr>
    </w:p>
    <w:p>
      <w:pPr>
        <w:spacing w:line="640" w:lineRule="exact"/>
        <w:ind w:firstLine="903" w:firstLineChars="198"/>
        <w:jc w:val="center"/>
        <w:rPr>
          <w:rFonts w:hint="eastAsia" w:ascii="华文中宋" w:hAnsi="华文中宋" w:eastAsia="华文中宋" w:cs="华文中宋"/>
          <w:b/>
          <w:vanish/>
          <w:color w:val="000000"/>
          <w:spacing w:val="8"/>
          <w:kern w:val="0"/>
          <w:sz w:val="44"/>
          <w:szCs w:val="44"/>
        </w:rPr>
      </w:pPr>
      <w:r>
        <w:rPr>
          <w:rFonts w:hint="eastAsia" w:ascii="华文中宋" w:hAnsi="华文中宋" w:eastAsia="华文中宋" w:cs="华文中宋"/>
          <w:b/>
          <w:vanish/>
          <w:color w:val="000000"/>
          <w:spacing w:val="8"/>
          <w:kern w:val="0"/>
          <w:sz w:val="44"/>
          <w:szCs w:val="44"/>
        </w:rPr>
        <w:br w:type="page"/>
      </w:r>
      <w:r>
        <w:rPr>
          <w:rFonts w:hint="eastAsia" w:ascii="华文中宋" w:hAnsi="华文中宋" w:eastAsia="华文中宋" w:cs="华文中宋"/>
          <w:b/>
          <w:vanish/>
          <w:color w:val="000000"/>
          <w:spacing w:val="8"/>
          <w:kern w:val="0"/>
          <w:sz w:val="44"/>
          <w:szCs w:val="44"/>
        </w:rPr>
        <w:br w:type="page"/>
      </w:r>
    </w:p>
    <w:p>
      <w:pPr>
        <w:spacing w:line="640" w:lineRule="exact"/>
        <w:ind w:firstLine="903" w:firstLineChars="198"/>
        <w:jc w:val="center"/>
        <w:rPr>
          <w:rFonts w:hint="eastAsia" w:ascii="华文中宋" w:hAnsi="华文中宋" w:eastAsia="华文中宋" w:cs="华文中宋"/>
          <w:b/>
          <w:vanish/>
          <w:color w:val="000000"/>
          <w:spacing w:val="8"/>
          <w:kern w:val="0"/>
          <w:sz w:val="44"/>
          <w:szCs w:val="44"/>
        </w:rPr>
      </w:pPr>
    </w:p>
    <w:p>
      <w:pPr>
        <w:spacing w:line="640" w:lineRule="exact"/>
        <w:ind w:firstLine="903" w:firstLineChars="198"/>
        <w:jc w:val="center"/>
        <w:rPr>
          <w:rFonts w:hint="eastAsia" w:ascii="华文中宋" w:hAnsi="华文中宋" w:eastAsia="华文中宋" w:cs="华文中宋"/>
          <w:b/>
          <w:vanish/>
          <w:color w:val="000000"/>
          <w:spacing w:val="8"/>
          <w:kern w:val="0"/>
          <w:sz w:val="44"/>
          <w:szCs w:val="44"/>
        </w:rPr>
      </w:pPr>
    </w:p>
    <w:p>
      <w:pPr>
        <w:spacing w:line="640" w:lineRule="exact"/>
        <w:ind w:firstLine="903" w:firstLineChars="198"/>
        <w:jc w:val="center"/>
        <w:rPr>
          <w:rFonts w:hint="eastAsia" w:ascii="华文中宋" w:hAnsi="华文中宋" w:eastAsia="华文中宋" w:cs="华文中宋"/>
          <w:b/>
          <w:vanish/>
          <w:color w:val="000000"/>
          <w:spacing w:val="8"/>
          <w:kern w:val="0"/>
          <w:sz w:val="44"/>
          <w:szCs w:val="44"/>
        </w:rPr>
      </w:pPr>
    </w:p>
    <w:p>
      <w:pPr>
        <w:spacing w:line="640" w:lineRule="exact"/>
        <w:ind w:firstLine="903" w:firstLineChars="198"/>
        <w:jc w:val="center"/>
        <w:rPr>
          <w:rFonts w:hint="eastAsia" w:ascii="华文中宋" w:hAnsi="华文中宋" w:eastAsia="华文中宋" w:cs="华文中宋"/>
          <w:b/>
          <w:vanish/>
          <w:color w:val="000000"/>
          <w:spacing w:val="8"/>
          <w:kern w:val="0"/>
          <w:sz w:val="44"/>
          <w:szCs w:val="44"/>
        </w:rPr>
      </w:pPr>
    </w:p>
    <w:p>
      <w:pPr>
        <w:spacing w:line="640" w:lineRule="exact"/>
        <w:ind w:firstLine="903" w:firstLineChars="198"/>
        <w:jc w:val="center"/>
        <w:rPr>
          <w:rFonts w:hint="eastAsia" w:ascii="华文中宋" w:hAnsi="华文中宋" w:eastAsia="华文中宋" w:cs="华文中宋"/>
          <w:b/>
          <w:vanish/>
          <w:color w:val="000000"/>
          <w:spacing w:val="8"/>
          <w:kern w:val="0"/>
          <w:sz w:val="44"/>
          <w:szCs w:val="44"/>
        </w:rPr>
      </w:pPr>
    </w:p>
    <w:p>
      <w:pPr>
        <w:spacing w:line="640" w:lineRule="exact"/>
        <w:ind w:firstLine="903" w:firstLineChars="198"/>
        <w:jc w:val="center"/>
        <w:rPr>
          <w:rFonts w:hint="eastAsia" w:ascii="华文中宋" w:hAnsi="华文中宋" w:eastAsia="华文中宋" w:cs="华文中宋"/>
          <w:b/>
          <w:vanish/>
          <w:color w:val="000000"/>
          <w:spacing w:val="8"/>
          <w:kern w:val="0"/>
          <w:sz w:val="44"/>
          <w:szCs w:val="44"/>
        </w:rPr>
      </w:pPr>
    </w:p>
    <w:p>
      <w:pPr>
        <w:widowControl/>
        <w:autoSpaceDN w:val="0"/>
        <w:spacing w:line="640" w:lineRule="exact"/>
        <w:ind w:firstLine="903" w:firstLineChars="198"/>
        <w:jc w:val="center"/>
        <w:rPr>
          <w:rFonts w:hint="eastAsia" w:ascii="华文中宋" w:hAnsi="华文中宋" w:eastAsia="华文中宋" w:cs="华文中宋"/>
          <w:b/>
          <w:color w:val="000000"/>
          <w:spacing w:val="8"/>
          <w:kern w:val="0"/>
          <w:sz w:val="44"/>
          <w:szCs w:val="44"/>
        </w:rPr>
      </w:pPr>
      <w:r>
        <w:rPr>
          <w:rFonts w:hint="eastAsia" w:ascii="华文中宋" w:hAnsi="华文中宋" w:eastAsia="华文中宋" w:cs="华文中宋"/>
          <w:b/>
          <w:vanish/>
          <w:color w:val="000000"/>
          <w:spacing w:val="8"/>
          <w:kern w:val="0"/>
          <w:sz w:val="44"/>
          <w:szCs w:val="44"/>
        </w:rPr>
        <w:br w:type="page"/>
      </w:r>
      <w:r>
        <w:rPr>
          <w:rFonts w:hint="eastAsia" w:ascii="华文中宋" w:hAnsi="华文中宋" w:eastAsia="华文中宋" w:cs="华文中宋"/>
          <w:b/>
          <w:vanish/>
          <w:color w:val="000000"/>
          <w:spacing w:val="8"/>
          <w:kern w:val="0"/>
          <w:sz w:val="44"/>
          <w:szCs w:val="44"/>
        </w:rPr>
        <w:br w:type="page"/>
      </w:r>
      <w:r>
        <w:rPr>
          <w:rFonts w:hint="eastAsia" w:ascii="华文中宋" w:hAnsi="华文中宋" w:eastAsia="华文中宋" w:cs="华文中宋"/>
          <w:b/>
          <w:vanish/>
          <w:color w:val="000000"/>
          <w:spacing w:val="8"/>
          <w:kern w:val="0"/>
          <w:sz w:val="44"/>
          <w:szCs w:val="44"/>
        </w:rPr>
        <w:br w:type="page"/>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vanish/>
          <w:color w:val="000000"/>
          <w:spacing w:val="8"/>
          <w:kern w:val="0"/>
          <w:sz w:val="44"/>
          <w:szCs w:val="44"/>
        </w:rPr>
        <w:pgNum/>
      </w:r>
      <w:r>
        <w:rPr>
          <w:rFonts w:hint="eastAsia" w:ascii="华文中宋" w:hAnsi="华文中宋" w:eastAsia="华文中宋" w:cs="华文中宋"/>
          <w:b/>
          <w:color w:val="000000"/>
          <w:spacing w:val="8"/>
          <w:kern w:val="0"/>
          <w:sz w:val="44"/>
          <w:szCs w:val="44"/>
        </w:rPr>
        <w:t>深圳市食品安全违法记分行为管理办法</w:t>
      </w:r>
    </w:p>
    <w:p>
      <w:pPr>
        <w:widowControl/>
        <w:autoSpaceDN w:val="0"/>
        <w:spacing w:line="640" w:lineRule="exact"/>
        <w:ind w:firstLine="2509" w:firstLineChars="550"/>
        <w:rPr>
          <w:rFonts w:hint="eastAsia" w:ascii="华文中宋" w:hAnsi="华文中宋" w:eastAsia="华文中宋" w:cs="华文中宋"/>
          <w:b/>
          <w:color w:val="000000"/>
          <w:spacing w:val="8"/>
          <w:kern w:val="0"/>
          <w:sz w:val="44"/>
          <w:szCs w:val="44"/>
        </w:rPr>
      </w:pPr>
      <w:r>
        <w:rPr>
          <w:rFonts w:hint="eastAsia" w:ascii="华文中宋" w:hAnsi="华文中宋" w:eastAsia="华文中宋" w:cs="华文中宋"/>
          <w:b/>
          <w:color w:val="000000"/>
          <w:spacing w:val="8"/>
          <w:kern w:val="0"/>
          <w:sz w:val="44"/>
          <w:szCs w:val="44"/>
        </w:rPr>
        <w:t>（征求意见稿）</w:t>
      </w:r>
    </w:p>
    <w:p>
      <w:pPr>
        <w:widowControl/>
        <w:snapToGrid w:val="0"/>
        <w:spacing w:line="500" w:lineRule="exact"/>
        <w:jc w:val="left"/>
        <w:rPr>
          <w:rFonts w:hint="eastAsia" w:ascii="仿宋_GB2312" w:hAnsi="宋体" w:eastAsia="仿宋_GB2312" w:cs="宋体"/>
          <w:color w:val="000000"/>
          <w:sz w:val="30"/>
          <w:szCs w:val="30"/>
        </w:rPr>
      </w:pPr>
    </w:p>
    <w:p>
      <w:pPr>
        <w:ind w:firstLine="674" w:firstLineChars="200"/>
        <w:rPr>
          <w:rFonts w:hint="eastAsia"/>
        </w:rPr>
      </w:pPr>
      <w:r>
        <w:rPr>
          <w:rFonts w:hint="eastAsia" w:ascii="黑体" w:hAnsi="黑体" w:eastAsia="黑体" w:cs="黑体"/>
          <w:b/>
          <w:color w:val="000000"/>
          <w:spacing w:val="8"/>
          <w:kern w:val="0"/>
          <w:sz w:val="32"/>
          <w:szCs w:val="32"/>
        </w:rPr>
        <w:t>第一条</w:t>
      </w:r>
      <w:r>
        <w:rPr>
          <w:rFonts w:hint="eastAsia" w:ascii="黑体" w:hAnsi="黑体" w:eastAsia="黑体" w:cs="黑体"/>
          <w:color w:val="000000"/>
          <w:spacing w:val="8"/>
          <w:kern w:val="0"/>
          <w:sz w:val="32"/>
          <w:szCs w:val="32"/>
        </w:rPr>
        <w:t>【制定目的和依据】</w:t>
      </w:r>
      <w:r>
        <w:rPr>
          <w:rFonts w:hint="eastAsia" w:ascii="仿宋_GB2312" w:hAnsi="宋体" w:eastAsia="仿宋_GB2312" w:cs="宋体"/>
          <w:color w:val="000000"/>
          <w:sz w:val="32"/>
          <w:szCs w:val="32"/>
        </w:rPr>
        <w:t>为推动食品生产经营者落实食品安全主体责任,对食品加工经营过程加强风险预防，全面保障广大消费者的食品安全，根据《中华人民共和国食品安全法》、《食品生产经营日常监督检查管理办法》、《食品生产经营日常监督检查要点表》、</w:t>
      </w:r>
      <w:r>
        <w:rPr>
          <w:rFonts w:hint="eastAsia" w:ascii="仿宋_GB2312" w:hAnsi="华文仿宋" w:eastAsia="仿宋_GB2312"/>
          <w:sz w:val="32"/>
          <w:szCs w:val="32"/>
        </w:rPr>
        <w:t>《关于实施餐饮服务食品安全监管量化分级管理工作的指导意见》</w:t>
      </w:r>
      <w:r>
        <w:rPr>
          <w:rFonts w:hint="eastAsia" w:ascii="仿宋_GB2312" w:hAnsi="宋体" w:eastAsia="仿宋_GB2312" w:cs="宋体"/>
          <w:color w:val="000000"/>
          <w:sz w:val="32"/>
          <w:szCs w:val="32"/>
        </w:rPr>
        <w:t>、《食品经营日常监督检查要点表》、《深圳经济特区食品安全监督条例》等有关食品安全法律、法规要求，结合风险分级管理原则，制定本办法。</w:t>
      </w:r>
    </w:p>
    <w:p>
      <w:pPr>
        <w:spacing w:line="560" w:lineRule="exact"/>
        <w:ind w:firstLine="666"/>
        <w:rPr>
          <w:rFonts w:hint="eastAsia" w:ascii="仿宋_GB2312" w:hAnsi="仿宋_GB2312" w:eastAsia="仿宋_GB2312" w:cs="仿宋_GB2312"/>
          <w:color w:val="000000"/>
          <w:kern w:val="0"/>
          <w:sz w:val="32"/>
          <w:szCs w:val="32"/>
        </w:rPr>
      </w:pPr>
      <w:r>
        <w:rPr>
          <w:rFonts w:hint="eastAsia" w:ascii="黑体" w:hAnsi="黑体" w:eastAsia="黑体" w:cs="黑体"/>
          <w:b/>
          <w:color w:val="000000"/>
          <w:spacing w:val="8"/>
          <w:kern w:val="0"/>
          <w:sz w:val="32"/>
          <w:szCs w:val="32"/>
        </w:rPr>
        <w:t>第二条</w:t>
      </w:r>
      <w:r>
        <w:rPr>
          <w:rFonts w:hint="eastAsia" w:ascii="黑体" w:hAnsi="仿宋_GB2312" w:eastAsia="黑体" w:cs="仿宋_GB2312"/>
          <w:color w:val="000000"/>
          <w:kern w:val="0"/>
          <w:sz w:val="32"/>
          <w:szCs w:val="32"/>
        </w:rPr>
        <w:t>【适用范围】</w:t>
      </w:r>
      <w:r>
        <w:rPr>
          <w:rFonts w:hint="eastAsia" w:ascii="仿宋_GB2312" w:hAnsi="仿宋_GB2312" w:eastAsia="仿宋_GB2312" w:cs="仿宋_GB2312"/>
          <w:color w:val="000000"/>
          <w:kern w:val="0"/>
          <w:sz w:val="32"/>
          <w:szCs w:val="32"/>
        </w:rPr>
        <w:t>本办法适用于深圳市内持有食品生产经营许可证的食品生产经营者，包括食品生产单位、餐饮服务提供者（含</w:t>
      </w:r>
      <w:r>
        <w:rPr>
          <w:rFonts w:hint="eastAsia" w:ascii="仿宋_GB2312" w:hAnsi="宋体" w:eastAsia="仿宋_GB2312"/>
          <w:color w:val="000000"/>
          <w:sz w:val="32"/>
          <w:szCs w:val="32"/>
        </w:rPr>
        <w:t>餐馆、饮品店、糕点店、微小餐饮、中央厨房、集体用餐配送单位、餐饮服务连锁企业总部、餐饮管理企业和</w:t>
      </w:r>
      <w:r>
        <w:rPr>
          <w:rFonts w:hint="eastAsia" w:ascii="仿宋_GB2312" w:hAnsi="仿宋_GB2312" w:eastAsia="仿宋_GB2312" w:cs="仿宋_GB2312"/>
          <w:color w:val="000000"/>
          <w:kern w:val="0"/>
          <w:sz w:val="32"/>
          <w:szCs w:val="32"/>
        </w:rPr>
        <w:t>单位食堂），因被食品安全监督检查发现存在违法行为所采取的记分监督措施，所记分数作为食品安全监管部门对其违法行为实施降低食品安全风险等级、查封等有关处理措施的依据。</w:t>
      </w:r>
    </w:p>
    <w:p>
      <w:pPr>
        <w:spacing w:line="560" w:lineRule="exact"/>
        <w:ind w:firstLine="666"/>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记分管理与对违法违规行为进行警示、纠正或处罚可同步执行。</w:t>
      </w:r>
    </w:p>
    <w:p>
      <w:pPr>
        <w:widowControl/>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食品流通单位、食品生产加工小作坊食品安全违法行为记分制度将在记分制度首批探索推广的基础上，总结评估可行性后适时推行。　  </w:t>
      </w:r>
    </w:p>
    <w:p>
      <w:pPr>
        <w:widowControl/>
        <w:snapToGrid w:val="0"/>
        <w:spacing w:line="560" w:lineRule="exact"/>
        <w:ind w:firstLine="674"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b/>
          <w:color w:val="000000"/>
          <w:spacing w:val="8"/>
          <w:kern w:val="0"/>
          <w:sz w:val="32"/>
          <w:szCs w:val="32"/>
        </w:rPr>
        <w:t>第三条</w:t>
      </w:r>
      <w:r>
        <w:rPr>
          <w:rFonts w:hint="eastAsia" w:ascii="黑体" w:hAnsi="仿宋_GB2312" w:eastAsia="黑体" w:cs="仿宋_GB2312"/>
          <w:color w:val="000000"/>
          <w:kern w:val="0"/>
          <w:sz w:val="32"/>
          <w:szCs w:val="32"/>
        </w:rPr>
        <w:t>【执行部门】</w:t>
      </w:r>
      <w:r>
        <w:rPr>
          <w:rFonts w:hint="eastAsia" w:ascii="仿宋_GB2312" w:hAnsi="仿宋_GB2312" w:eastAsia="仿宋_GB2312" w:cs="仿宋_GB2312"/>
          <w:color w:val="000000"/>
          <w:kern w:val="0"/>
          <w:sz w:val="32"/>
          <w:szCs w:val="32"/>
        </w:rPr>
        <w:t>本办法由食品安全监督管理部门负责实施。</w:t>
      </w:r>
    </w:p>
    <w:p>
      <w:pPr>
        <w:widowControl/>
        <w:snapToGrid w:val="0"/>
        <w:spacing w:line="560" w:lineRule="exact"/>
        <w:ind w:firstLine="615"/>
        <w:jc w:val="left"/>
        <w:rPr>
          <w:rFonts w:hint="eastAsia" w:ascii="仿宋_GB2312" w:hAnsi="仿宋_GB2312" w:eastAsia="仿宋_GB2312" w:cs="仿宋_GB2312"/>
          <w:color w:val="000000"/>
          <w:kern w:val="0"/>
          <w:sz w:val="32"/>
          <w:szCs w:val="32"/>
        </w:rPr>
      </w:pPr>
      <w:r>
        <w:rPr>
          <w:rFonts w:hint="eastAsia" w:ascii="黑体" w:hAnsi="黑体" w:eastAsia="黑体" w:cs="黑体"/>
          <w:b/>
          <w:color w:val="000000"/>
          <w:spacing w:val="8"/>
          <w:kern w:val="0"/>
          <w:sz w:val="32"/>
          <w:szCs w:val="32"/>
        </w:rPr>
        <w:t>第四条</w:t>
      </w:r>
      <w:r>
        <w:rPr>
          <w:rFonts w:hint="eastAsia" w:ascii="仿宋_GB2312" w:hAnsi="仿宋_GB2312" w:eastAsia="仿宋_GB2312" w:cs="仿宋_GB2312"/>
          <w:color w:val="000000"/>
          <w:kern w:val="0"/>
          <w:sz w:val="32"/>
          <w:szCs w:val="32"/>
        </w:rPr>
        <w:t>【</w:t>
      </w:r>
      <w:r>
        <w:rPr>
          <w:rFonts w:hint="eastAsia" w:ascii="黑体" w:hAnsi="仿宋_GB2312" w:eastAsia="黑体" w:cs="仿宋_GB2312"/>
          <w:color w:val="000000"/>
          <w:kern w:val="0"/>
          <w:sz w:val="32"/>
          <w:szCs w:val="32"/>
        </w:rPr>
        <w:t>主体义务】</w:t>
      </w:r>
      <w:r>
        <w:rPr>
          <w:rFonts w:hint="eastAsia" w:ascii="仿宋_GB2312" w:hAnsi="仿宋_GB2312" w:eastAsia="仿宋_GB2312" w:cs="仿宋_GB2312"/>
          <w:color w:val="000000"/>
          <w:kern w:val="0"/>
          <w:sz w:val="32"/>
          <w:szCs w:val="32"/>
        </w:rPr>
        <w:t>食品生产经营者的食品安全管理人员应该陪同食品安全监管人员进行现场检查，按照检查要求，开放食品生产经营场所，回答相关询问，提供相关记录、合同、票据、账簿和其他有关资料，协助生产经营现场检查和抽样检验，并对其提供材料的真实性负责。</w:t>
      </w:r>
    </w:p>
    <w:p>
      <w:pPr>
        <w:pStyle w:val="6"/>
        <w:spacing w:before="0" w:beforeAutospacing="0" w:after="0" w:afterAutospacing="0" w:line="560" w:lineRule="exact"/>
        <w:ind w:firstLine="674" w:firstLineChars="200"/>
        <w:rPr>
          <w:rFonts w:hint="eastAsia" w:ascii="仿宋_GB2312" w:eastAsia="仿宋_GB2312"/>
          <w:sz w:val="32"/>
          <w:szCs w:val="32"/>
        </w:rPr>
      </w:pPr>
      <w:r>
        <w:rPr>
          <w:rFonts w:hint="eastAsia" w:ascii="黑体" w:hAnsi="黑体" w:eastAsia="黑体" w:cs="黑体"/>
          <w:b/>
          <w:vanish/>
          <w:color w:val="000000"/>
          <w:spacing w:val="8"/>
          <w:sz w:val="32"/>
          <w:szCs w:val="32"/>
        </w:rPr>
        <w:cr/>
      </w:r>
      <w:r>
        <w:rPr>
          <w:rFonts w:hint="eastAsia" w:ascii="黑体" w:hAnsi="黑体" w:eastAsia="黑体" w:cs="黑体"/>
          <w:b/>
          <w:vanish/>
          <w:color w:val="000000"/>
          <w:spacing w:val="8"/>
          <w:sz w:val="32"/>
          <w:szCs w:val="32"/>
        </w:rPr>
        <w:t xml:space="preserve">值g </w:t>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color w:val="000000"/>
          <w:spacing w:val="8"/>
          <w:sz w:val="32"/>
          <w:szCs w:val="32"/>
        </w:rPr>
        <w:t>第五条</w:t>
      </w:r>
      <w:r>
        <w:rPr>
          <w:rFonts w:hint="eastAsia" w:ascii="黑体" w:hAnsi="仿宋_GB2312" w:eastAsia="黑体" w:cs="仿宋_GB2312"/>
          <w:color w:val="000000"/>
          <w:sz w:val="32"/>
          <w:szCs w:val="32"/>
        </w:rPr>
        <w:t>【记分检查形式】</w:t>
      </w:r>
      <w:r>
        <w:rPr>
          <w:rFonts w:hint="eastAsia" w:ascii="仿宋_GB2312" w:eastAsia="仿宋_GB2312"/>
          <w:sz w:val="32"/>
          <w:szCs w:val="32"/>
        </w:rPr>
        <w:t>食</w:t>
      </w:r>
      <w:r>
        <w:rPr>
          <w:rFonts w:hint="eastAsia" w:ascii="仿宋_GB2312" w:hAnsi="仿宋_GB2312" w:eastAsia="仿宋_GB2312" w:cs="仿宋_GB2312"/>
          <w:color w:val="000000"/>
          <w:sz w:val="32"/>
          <w:szCs w:val="32"/>
        </w:rPr>
        <w:t>品安全监管人员对</w:t>
      </w:r>
      <w:r>
        <w:rPr>
          <w:rFonts w:hint="eastAsia" w:ascii="仿宋_GB2312" w:eastAsia="仿宋_GB2312"/>
          <w:sz w:val="32"/>
          <w:szCs w:val="32"/>
        </w:rPr>
        <w:t>食品生产经营者实施记分监督检查，可以采取现场检查、书面检查、视频监控抓拍违法行为记录等形式。</w:t>
      </w:r>
    </w:p>
    <w:p>
      <w:pPr>
        <w:pStyle w:val="6"/>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进行现场监督检查时，应当有2名或以上执法人员共同参加，监督检查人员应当当场出示有效执法证件，告知食品生产经营者有权申请监督检查人员应回避的下列情形：（1）系当事人或当事人的近亲属；（2）与本人或本人近亲属有利害关系；（3）与当事人有其他关系，可能影响公正执法的。</w:t>
      </w:r>
    </w:p>
    <w:p>
      <w:pPr>
        <w:pStyle w:val="6"/>
        <w:spacing w:before="0" w:beforeAutospacing="0" w:after="0" w:afterAutospacing="0" w:line="560" w:lineRule="exact"/>
        <w:ind w:firstLine="674" w:firstLineChars="200"/>
        <w:rPr>
          <w:rFonts w:hint="eastAsia" w:ascii="仿宋_GB2312" w:eastAsia="仿宋_GB2312"/>
          <w:sz w:val="32"/>
          <w:szCs w:val="32"/>
        </w:rPr>
      </w:pPr>
      <w:r>
        <w:rPr>
          <w:rFonts w:hint="eastAsia" w:ascii="黑体" w:hAnsi="黑体" w:eastAsia="黑体" w:cs="黑体"/>
          <w:b/>
          <w:vanish/>
          <w:color w:val="000000"/>
          <w:spacing w:val="8"/>
          <w:sz w:val="32"/>
          <w:szCs w:val="32"/>
        </w:rPr>
        <w:cr/>
      </w:r>
      <w:r>
        <w:rPr>
          <w:rFonts w:hint="eastAsia" w:ascii="黑体" w:hAnsi="黑体" w:eastAsia="黑体" w:cs="黑体"/>
          <w:b/>
          <w:vanish/>
          <w:color w:val="000000"/>
          <w:spacing w:val="8"/>
          <w:sz w:val="32"/>
          <w:szCs w:val="32"/>
        </w:rPr>
        <w:t xml:space="preserve">值g </w:t>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vanish/>
          <w:color w:val="000000"/>
          <w:spacing w:val="8"/>
          <w:sz w:val="32"/>
          <w:szCs w:val="32"/>
        </w:rPr>
        <w:pgNum/>
      </w:r>
      <w:r>
        <w:rPr>
          <w:rFonts w:hint="eastAsia" w:ascii="黑体" w:hAnsi="黑体" w:eastAsia="黑体" w:cs="黑体"/>
          <w:b/>
          <w:color w:val="000000"/>
          <w:spacing w:val="8"/>
          <w:sz w:val="32"/>
          <w:szCs w:val="32"/>
        </w:rPr>
        <w:t>第六条</w:t>
      </w:r>
      <w:r>
        <w:rPr>
          <w:rFonts w:hint="eastAsia" w:ascii="黑体" w:hAnsi="仿宋_GB2312" w:eastAsia="黑体" w:cs="仿宋_GB2312"/>
          <w:color w:val="000000"/>
          <w:sz w:val="32"/>
          <w:szCs w:val="32"/>
        </w:rPr>
        <w:t>【违法记录要求】</w:t>
      </w:r>
      <w:r>
        <w:rPr>
          <w:rFonts w:hint="eastAsia" w:ascii="仿宋_GB2312" w:eastAsia="仿宋_GB2312"/>
          <w:sz w:val="32"/>
          <w:szCs w:val="32"/>
        </w:rPr>
        <w:t>食品安全监管人员</w:t>
      </w:r>
      <w:r>
        <w:rPr>
          <w:rFonts w:hint="eastAsia" w:ascii="仿宋_GB2312" w:hAnsi="仿宋_GB2312" w:eastAsia="仿宋_GB2312" w:cs="仿宋_GB2312"/>
          <w:color w:val="000000"/>
          <w:sz w:val="32"/>
          <w:szCs w:val="32"/>
        </w:rPr>
        <w:t>发现食品生产经营者存在食品安全违法行为的，应当</w:t>
      </w:r>
      <w:r>
        <w:rPr>
          <w:rFonts w:hint="eastAsia" w:ascii="仿宋_GB2312" w:eastAsia="仿宋_GB2312"/>
          <w:sz w:val="32"/>
          <w:szCs w:val="32"/>
        </w:rPr>
        <w:t>依法制作检查记录，或使用图像</w:t>
      </w:r>
      <w:r>
        <w:rPr>
          <w:rFonts w:hint="eastAsia" w:ascii="仿宋_GB2312" w:hAnsi="仿宋_GB2312" w:eastAsia="仿宋_GB2312" w:cs="仿宋_GB2312"/>
          <w:color w:val="000000"/>
          <w:sz w:val="32"/>
          <w:szCs w:val="32"/>
        </w:rPr>
        <w:t>、影像等有关证据，进行记分，并告知食品生产经营者违法记分情况。</w:t>
      </w:r>
      <w:r>
        <w:rPr>
          <w:rFonts w:hint="eastAsia" w:ascii="仿宋_GB2312" w:eastAsia="仿宋_GB2312"/>
          <w:sz w:val="32"/>
          <w:szCs w:val="32"/>
        </w:rPr>
        <w:t>现</w:t>
      </w:r>
      <w:r>
        <w:rPr>
          <w:rFonts w:hint="eastAsia" w:ascii="仿宋_GB2312" w:hAnsi="仿宋_GB2312" w:eastAsia="仿宋_GB2312" w:cs="仿宋_GB2312"/>
          <w:color w:val="000000"/>
          <w:sz w:val="32"/>
          <w:szCs w:val="32"/>
        </w:rPr>
        <w:t>场</w:t>
      </w:r>
      <w:r>
        <w:rPr>
          <w:rFonts w:hint="eastAsia" w:ascii="仿宋_GB2312" w:eastAsia="仿宋_GB2312"/>
          <w:sz w:val="32"/>
          <w:szCs w:val="32"/>
        </w:rPr>
        <w:t>检查记分笔录经双方核实并签字；被检查单位拒绝在检查结果记录表上签字或者盖章的，监管人员应当在检查结果记录表上注明原因，并可以邀请有关人员作为见证人签字、盖章，或者采取录音、录像等方式进行记录，作为监督执法的依据。</w:t>
      </w:r>
    </w:p>
    <w:p>
      <w:pPr>
        <w:pStyle w:val="6"/>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监督检查人员应当按照记分检查表（附件1、2）的检查内容逐项开展检查，并对每一项结果进行评价，每次监督检查可以随机抽取记分检查表中的部分内容进行检查，但每年开展的监督检查原则上应当覆盖记分检查表中全部项目。</w:t>
      </w:r>
    </w:p>
    <w:p>
      <w:pPr>
        <w:pStyle w:val="6"/>
        <w:spacing w:before="0" w:beforeAutospacing="0" w:after="0" w:afterAutospacing="0" w:line="560" w:lineRule="exact"/>
        <w:jc w:val="both"/>
        <w:rPr>
          <w:rFonts w:hint="eastAsia" w:ascii="仿宋_GB2312" w:hAnsi="仿宋_GB2312" w:eastAsia="仿宋_GB2312" w:cs="仿宋_GB2312"/>
          <w:color w:val="000000"/>
          <w:sz w:val="32"/>
          <w:szCs w:val="32"/>
        </w:rPr>
      </w:pPr>
      <w:r>
        <w:rPr>
          <w:rFonts w:hint="eastAsia" w:ascii="黑体" w:hAnsi="黑体" w:eastAsia="黑体" w:cs="黑体"/>
          <w:b/>
          <w:color w:val="000000"/>
          <w:spacing w:val="8"/>
          <w:sz w:val="32"/>
          <w:szCs w:val="32"/>
        </w:rPr>
        <w:t xml:space="preserve">    第七条</w:t>
      </w:r>
      <w:r>
        <w:rPr>
          <w:rFonts w:hint="eastAsia" w:ascii="黑体" w:hAnsi="仿宋_GB2312" w:eastAsia="黑体" w:cs="仿宋_GB2312"/>
          <w:color w:val="000000"/>
          <w:sz w:val="32"/>
          <w:szCs w:val="32"/>
        </w:rPr>
        <w:t>【记分标准】</w:t>
      </w:r>
      <w:r>
        <w:rPr>
          <w:rFonts w:hint="eastAsia" w:ascii="仿宋_GB2312" w:hAnsi="仿宋_GB2312" w:eastAsia="仿宋_GB2312" w:cs="仿宋_GB2312"/>
          <w:color w:val="000000"/>
          <w:sz w:val="32"/>
          <w:szCs w:val="32"/>
        </w:rPr>
        <w:t xml:space="preserve">食品安全监管部门按照以下规定进行记分： </w:t>
      </w:r>
    </w:p>
    <w:p>
      <w:pPr>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以食品安全违法行为为依据，结合食品安全风险评估的严重程度，食品生产单位一次记分分值分别为20分、10分、4分、3分、2分、1分（附件1）；餐饮服务提供者一次记分的分值分别为20分、5分、2分、1分（附件2）； </w:t>
      </w:r>
    </w:p>
    <w:p>
      <w:pPr>
        <w:pStyle w:val="6"/>
        <w:spacing w:before="0" w:beforeAutospacing="0" w:after="0" w:afterAutospacing="0" w:line="56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（二）在同一次检查中被发现食品生产经营者有两种或以上违法违规行为记分的，应当分别累计计算； </w:t>
      </w:r>
    </w:p>
    <w:p>
      <w:pPr>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w:t>
      </w:r>
      <w:r>
        <w:rPr>
          <w:rFonts w:hint="eastAsia" w:ascii="仿宋_GB2312" w:hAnsi="仿宋_GB2312" w:eastAsia="仿宋_GB2312" w:cs="仿宋_GB2312"/>
          <w:color w:val="000000"/>
          <w:sz w:val="32"/>
          <w:szCs w:val="32"/>
        </w:rPr>
        <w:t>食品生产经营</w:t>
      </w:r>
      <w:r>
        <w:rPr>
          <w:rFonts w:hint="eastAsia" w:ascii="仿宋_GB2312" w:hAnsi="仿宋_GB2312" w:eastAsia="仿宋_GB2312" w:cs="仿宋_GB2312"/>
          <w:color w:val="000000"/>
          <w:kern w:val="0"/>
          <w:sz w:val="32"/>
          <w:szCs w:val="32"/>
        </w:rPr>
        <w:t>者存在同一种违法违规行为涉及到本办法两种以上扣分标准的，应该按照最高分值的条款扣分，不重复扣分；</w:t>
      </w:r>
    </w:p>
    <w:p>
      <w:pPr>
        <w:snapToGrid w:val="0"/>
        <w:spacing w:line="560" w:lineRule="exact"/>
        <w:jc w:val="left"/>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kern w:val="0"/>
          <w:sz w:val="32"/>
          <w:szCs w:val="32"/>
        </w:rPr>
        <w:t xml:space="preserve">   （四）多次检查存在</w:t>
      </w:r>
      <w:r>
        <w:rPr>
          <w:rFonts w:hint="eastAsia" w:ascii="仿宋_GB2312" w:hAnsi="仿宋_GB2312" w:eastAsia="仿宋_GB2312" w:cs="仿宋_GB2312"/>
          <w:color w:val="000000"/>
          <w:spacing w:val="8"/>
          <w:kern w:val="0"/>
          <w:sz w:val="32"/>
          <w:szCs w:val="32"/>
        </w:rPr>
        <w:t>同种或不同种违法</w:t>
      </w:r>
      <w:r>
        <w:rPr>
          <w:rFonts w:hint="eastAsia" w:ascii="仿宋_GB2312" w:hAnsi="仿宋_GB2312" w:eastAsia="仿宋_GB2312" w:cs="仿宋_GB2312"/>
          <w:color w:val="000000"/>
          <w:kern w:val="0"/>
          <w:sz w:val="32"/>
          <w:szCs w:val="32"/>
        </w:rPr>
        <w:t>违规</w:t>
      </w:r>
      <w:r>
        <w:rPr>
          <w:rFonts w:hint="eastAsia" w:ascii="仿宋_GB2312" w:hAnsi="仿宋_GB2312" w:eastAsia="仿宋_GB2312" w:cs="仿宋_GB2312"/>
          <w:color w:val="000000"/>
          <w:spacing w:val="8"/>
          <w:kern w:val="0"/>
          <w:sz w:val="32"/>
          <w:szCs w:val="32"/>
        </w:rPr>
        <w:t xml:space="preserve">行为的，每次均应当记分。 </w:t>
      </w:r>
    </w:p>
    <w:p>
      <w:pPr>
        <w:tabs>
          <w:tab w:val="left" w:pos="576"/>
        </w:tabs>
        <w:spacing w:line="560" w:lineRule="exact"/>
        <w:ind w:firstLine="674" w:firstLineChars="200"/>
        <w:rPr>
          <w:rFonts w:hint="eastAsia" w:ascii="仿宋_GB2312" w:hAnsi="仿宋_GB2312" w:eastAsia="仿宋_GB2312" w:cs="仿宋_GB2312"/>
          <w:color w:val="000000"/>
          <w:sz w:val="32"/>
          <w:szCs w:val="32"/>
        </w:rPr>
      </w:pPr>
      <w:r>
        <w:rPr>
          <w:rFonts w:hint="eastAsia" w:ascii="黑体" w:hAnsi="黑体" w:eastAsia="黑体" w:cs="黑体"/>
          <w:b/>
          <w:color w:val="000000"/>
          <w:spacing w:val="8"/>
          <w:sz w:val="32"/>
          <w:szCs w:val="32"/>
        </w:rPr>
        <w:t>第八条</w:t>
      </w:r>
      <w:r>
        <w:rPr>
          <w:rFonts w:hint="eastAsia" w:ascii="黑体" w:hAnsi="仿宋_GB2312" w:eastAsia="黑体" w:cs="仿宋_GB2312"/>
          <w:color w:val="000000"/>
          <w:sz w:val="32"/>
          <w:szCs w:val="32"/>
        </w:rPr>
        <w:t>【记分周期】</w:t>
      </w:r>
      <w:r>
        <w:rPr>
          <w:rFonts w:hint="eastAsia" w:ascii="仿宋_GB2312" w:hAnsi="仿宋_GB2312" w:eastAsia="仿宋_GB2312" w:cs="仿宋_GB2312"/>
          <w:color w:val="000000"/>
          <w:sz w:val="32"/>
          <w:szCs w:val="32"/>
        </w:rPr>
        <w:t>以食品生产经营</w:t>
      </w:r>
      <w:r>
        <w:rPr>
          <w:rFonts w:hint="eastAsia" w:ascii="仿宋_GB2312" w:hAnsi="仿宋_GB2312" w:eastAsia="仿宋_GB2312" w:cs="仿宋_GB2312"/>
          <w:color w:val="000000"/>
          <w:kern w:val="0"/>
          <w:sz w:val="32"/>
          <w:szCs w:val="32"/>
        </w:rPr>
        <w:t>者</w:t>
      </w:r>
      <w:r>
        <w:rPr>
          <w:rFonts w:hint="eastAsia" w:ascii="仿宋_GB2312" w:hAnsi="仿宋_GB2312" w:eastAsia="仿宋_GB2312" w:cs="仿宋_GB2312"/>
          <w:color w:val="000000"/>
          <w:sz w:val="32"/>
          <w:szCs w:val="32"/>
        </w:rPr>
        <w:t>获得食品生产经营许可证的发证之日起每12个月内为一个记分周期。分数的记录日期同被检查发现违法记分的日期。</w:t>
      </w:r>
    </w:p>
    <w:p>
      <w:pPr>
        <w:ind w:firstLine="505" w:firstLineChars="150"/>
        <w:rPr>
          <w:rFonts w:hint="eastAsia" w:ascii="仿宋_GB2312" w:hAnsi="仿宋_GB2312" w:eastAsia="仿宋_GB2312" w:cs="仿宋_GB2312"/>
          <w:color w:val="000000"/>
          <w:sz w:val="32"/>
          <w:szCs w:val="32"/>
        </w:rPr>
      </w:pPr>
      <w:r>
        <w:rPr>
          <w:rStyle w:val="10"/>
          <w:rFonts w:hint="eastAsia" w:ascii="黑体" w:hAnsi="黑体" w:eastAsia="黑体" w:cs="黑体"/>
          <w:color w:val="000000"/>
          <w:spacing w:val="8"/>
          <w:sz w:val="32"/>
          <w:szCs w:val="32"/>
        </w:rPr>
        <w:t xml:space="preserve"> 第九条</w:t>
      </w:r>
      <w:r>
        <w:rPr>
          <w:rFonts w:hint="eastAsia" w:ascii="黑体" w:hAnsi="仿宋_GB2312" w:eastAsia="黑体" w:cs="仿宋_GB2312"/>
          <w:color w:val="000000"/>
          <w:sz w:val="32"/>
          <w:szCs w:val="32"/>
        </w:rPr>
        <w:t>【食品生产单位记分等级】</w:t>
      </w:r>
      <w:r>
        <w:rPr>
          <w:rFonts w:hint="eastAsia" w:ascii="仿宋_GB2312" w:hAnsi="宋体" w:eastAsia="仿宋_GB2312" w:cs="宋体"/>
          <w:kern w:val="0"/>
          <w:sz w:val="32"/>
          <w:szCs w:val="32"/>
        </w:rPr>
        <w:t>食品生产单位记分等级由高到低分为</w:t>
      </w:r>
      <w:r>
        <w:rPr>
          <w:rFonts w:hint="eastAsia" w:ascii="仿宋" w:hAnsi="仿宋" w:eastAsia="仿宋"/>
          <w:kern w:val="0"/>
          <w:sz w:val="32"/>
          <w:szCs w:val="32"/>
        </w:rPr>
        <w:t>Ⅰ</w:t>
      </w:r>
      <w:r>
        <w:rPr>
          <w:rFonts w:hint="eastAsia" w:ascii="仿宋_GB2312" w:hAnsi="宋体" w:eastAsia="仿宋_GB2312" w:cs="宋体"/>
          <w:kern w:val="0"/>
          <w:sz w:val="32"/>
          <w:szCs w:val="32"/>
        </w:rPr>
        <w:t>、</w:t>
      </w:r>
      <w:r>
        <w:rPr>
          <w:rFonts w:hint="eastAsia" w:ascii="仿宋" w:hAnsi="仿宋" w:eastAsia="仿宋"/>
          <w:kern w:val="0"/>
          <w:sz w:val="32"/>
          <w:szCs w:val="32"/>
        </w:rPr>
        <w:t>Ⅱ</w:t>
      </w:r>
      <w:r>
        <w:rPr>
          <w:rFonts w:hint="eastAsia" w:ascii="仿宋_GB2312" w:hAnsi="宋体" w:eastAsia="仿宋_GB2312" w:cs="宋体"/>
          <w:kern w:val="0"/>
          <w:sz w:val="32"/>
          <w:szCs w:val="32"/>
        </w:rPr>
        <w:t>、</w:t>
      </w:r>
      <w:r>
        <w:rPr>
          <w:rFonts w:hint="eastAsia" w:ascii="仿宋" w:hAnsi="仿宋" w:eastAsia="仿宋"/>
          <w:kern w:val="0"/>
          <w:sz w:val="32"/>
          <w:szCs w:val="32"/>
        </w:rPr>
        <w:t>Ⅲ</w:t>
      </w:r>
      <w:r>
        <w:rPr>
          <w:rFonts w:hint="eastAsia" w:ascii="仿宋_GB2312" w:hAnsi="宋体" w:eastAsia="仿宋_GB2312" w:cs="宋体"/>
          <w:kern w:val="0"/>
          <w:sz w:val="32"/>
          <w:szCs w:val="32"/>
        </w:rPr>
        <w:t>三级，在一个记分周期开始时，所有食品生产单位记分等级均默认为</w:t>
      </w:r>
      <w:r>
        <w:rPr>
          <w:rFonts w:hint="eastAsia" w:ascii="仿宋" w:hAnsi="仿宋" w:eastAsia="仿宋"/>
          <w:kern w:val="0"/>
          <w:sz w:val="32"/>
          <w:szCs w:val="32"/>
        </w:rPr>
        <w:t>Ⅰ</w:t>
      </w:r>
      <w:r>
        <w:rPr>
          <w:rFonts w:hint="eastAsia" w:ascii="仿宋_GB2312" w:hAnsi="宋体" w:eastAsia="仿宋_GB2312" w:cs="宋体"/>
          <w:kern w:val="0"/>
          <w:sz w:val="32"/>
          <w:szCs w:val="32"/>
        </w:rPr>
        <w:t>级。</w:t>
      </w:r>
    </w:p>
    <w:p>
      <w:pPr>
        <w:spacing w:line="560" w:lineRule="exact"/>
        <w:ind w:firstLine="674" w:firstLineChars="200"/>
        <w:jc w:val="left"/>
        <w:rPr>
          <w:rFonts w:ascii="仿宋_GB2312" w:hAnsi="宋体" w:eastAsia="仿宋_GB2312" w:cs="宋体"/>
          <w:kern w:val="0"/>
          <w:sz w:val="32"/>
          <w:szCs w:val="32"/>
        </w:rPr>
      </w:pPr>
      <w:r>
        <w:rPr>
          <w:rStyle w:val="10"/>
          <w:rFonts w:hint="eastAsia" w:ascii="黑体" w:hAnsi="黑体" w:eastAsia="黑体" w:cs="黑体"/>
          <w:color w:val="000000"/>
          <w:spacing w:val="8"/>
          <w:sz w:val="32"/>
          <w:szCs w:val="32"/>
        </w:rPr>
        <w:t xml:space="preserve"> 第十条</w:t>
      </w:r>
      <w:r>
        <w:rPr>
          <w:rFonts w:hint="eastAsia" w:ascii="黑体" w:hAnsi="仿宋_GB2312" w:eastAsia="黑体" w:cs="仿宋_GB2312"/>
          <w:color w:val="000000"/>
          <w:sz w:val="32"/>
          <w:szCs w:val="32"/>
        </w:rPr>
        <w:t>【食品生产单位记分后查处】</w:t>
      </w:r>
      <w:r>
        <w:rPr>
          <w:rFonts w:hint="eastAsia" w:ascii="仿宋_GB2312" w:hAnsi="宋体" w:eastAsia="仿宋_GB2312" w:cs="宋体"/>
          <w:kern w:val="0"/>
          <w:sz w:val="32"/>
          <w:szCs w:val="32"/>
        </w:rPr>
        <w:t>食品安全监管部门对</w:t>
      </w:r>
      <w:r>
        <w:rPr>
          <w:rFonts w:ascii="仿宋_GB2312" w:hAnsi="宋体" w:eastAsia="仿宋_GB2312" w:cs="宋体"/>
          <w:kern w:val="0"/>
          <w:sz w:val="32"/>
          <w:szCs w:val="32"/>
        </w:rPr>
        <w:t>食品生产</w:t>
      </w:r>
      <w:r>
        <w:rPr>
          <w:rFonts w:hint="eastAsia" w:ascii="仿宋_GB2312" w:hAnsi="宋体" w:eastAsia="仿宋_GB2312" w:cs="宋体"/>
          <w:kern w:val="0"/>
          <w:sz w:val="32"/>
          <w:szCs w:val="32"/>
        </w:rPr>
        <w:t xml:space="preserve">单位违法行为年度记分周期内的累积记分，应当按照以下情形查处： </w:t>
      </w:r>
    </w:p>
    <w:p>
      <w:pPr>
        <w:spacing w:line="56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w:t>
      </w:r>
      <w:r>
        <w:rPr>
          <w:rFonts w:ascii="仿宋_GB2312" w:hAnsi="宋体" w:eastAsia="仿宋_GB2312" w:cs="宋体"/>
          <w:kern w:val="0"/>
          <w:sz w:val="32"/>
          <w:szCs w:val="32"/>
        </w:rPr>
        <w:t>）食品生产</w:t>
      </w:r>
      <w:r>
        <w:rPr>
          <w:rFonts w:hint="eastAsia" w:ascii="仿宋_GB2312" w:hAnsi="宋体" w:eastAsia="仿宋_GB2312" w:cs="宋体"/>
          <w:kern w:val="0"/>
          <w:sz w:val="32"/>
          <w:szCs w:val="32"/>
        </w:rPr>
        <w:t>单位</w:t>
      </w:r>
      <w:r>
        <w:rPr>
          <w:rFonts w:ascii="仿宋_GB2312" w:hAnsi="宋体" w:eastAsia="仿宋_GB2312" w:cs="宋体"/>
          <w:kern w:val="0"/>
          <w:sz w:val="32"/>
          <w:szCs w:val="32"/>
        </w:rPr>
        <w:t>在一个记分周期内记分达到</w:t>
      </w:r>
      <w:r>
        <w:rPr>
          <w:rFonts w:hint="eastAsia" w:ascii="仿宋_GB2312" w:hAnsi="宋体" w:eastAsia="仿宋_GB2312" w:cs="宋体"/>
          <w:kern w:val="0"/>
          <w:sz w:val="32"/>
          <w:szCs w:val="32"/>
        </w:rPr>
        <w:t>10</w:t>
      </w:r>
      <w:r>
        <w:rPr>
          <w:rFonts w:ascii="仿宋_GB2312" w:hAnsi="宋体" w:eastAsia="仿宋_GB2312" w:cs="宋体"/>
          <w:kern w:val="0"/>
          <w:sz w:val="32"/>
          <w:szCs w:val="32"/>
        </w:rPr>
        <w:t>分的，</w:t>
      </w:r>
      <w:r>
        <w:rPr>
          <w:rFonts w:hint="eastAsia" w:ascii="仿宋_GB2312" w:hAnsi="宋体" w:eastAsia="仿宋_GB2312" w:cs="宋体"/>
          <w:kern w:val="0"/>
          <w:sz w:val="32"/>
          <w:szCs w:val="32"/>
        </w:rPr>
        <w:t>记分等级由</w:t>
      </w:r>
      <w:r>
        <w:rPr>
          <w:rFonts w:hint="eastAsia" w:ascii="仿宋" w:hAnsi="仿宋" w:eastAsia="仿宋"/>
          <w:kern w:val="0"/>
          <w:sz w:val="32"/>
          <w:szCs w:val="32"/>
        </w:rPr>
        <w:t>Ⅰ</w:t>
      </w:r>
      <w:r>
        <w:rPr>
          <w:rFonts w:hint="eastAsia" w:ascii="仿宋_GB2312" w:hAnsi="宋体" w:eastAsia="仿宋_GB2312" w:cs="宋体"/>
          <w:kern w:val="0"/>
          <w:sz w:val="32"/>
          <w:szCs w:val="32"/>
        </w:rPr>
        <w:t>级降为</w:t>
      </w:r>
      <w:r>
        <w:rPr>
          <w:rFonts w:hint="eastAsia" w:ascii="仿宋" w:hAnsi="仿宋" w:eastAsia="仿宋"/>
          <w:kern w:val="0"/>
          <w:sz w:val="32"/>
          <w:szCs w:val="32"/>
        </w:rPr>
        <w:t>Ⅱ</w:t>
      </w:r>
      <w:r>
        <w:rPr>
          <w:rFonts w:hint="eastAsia" w:ascii="仿宋_GB2312" w:hAnsi="宋体" w:eastAsia="仿宋_GB2312" w:cs="宋体"/>
          <w:kern w:val="0"/>
          <w:sz w:val="32"/>
          <w:szCs w:val="32"/>
        </w:rPr>
        <w:t>级，食品安全监管部门将企业纳入重点监管范围，加强食品安全风险防控。</w:t>
      </w:r>
    </w:p>
    <w:p>
      <w:pPr>
        <w:ind w:firstLine="480" w:firstLineChars="150"/>
        <w:rPr>
          <w:szCs w:val="21"/>
        </w:rPr>
      </w:pPr>
      <w:r>
        <w:rPr>
          <w:rFonts w:hint="eastAsia" w:ascii="仿宋_GB2312" w:hAnsi="宋体" w:eastAsia="仿宋_GB2312" w:cs="宋体"/>
          <w:kern w:val="0"/>
          <w:sz w:val="32"/>
          <w:szCs w:val="32"/>
        </w:rPr>
        <w:t>（二）食品生产单位在一个记分周期内记分达到20分的，记分等级降为</w:t>
      </w:r>
      <w:r>
        <w:rPr>
          <w:rFonts w:hint="eastAsia" w:ascii="仿宋" w:hAnsi="仿宋" w:eastAsia="仿宋"/>
          <w:kern w:val="0"/>
          <w:sz w:val="32"/>
          <w:szCs w:val="32"/>
        </w:rPr>
        <w:t>Ⅲ</w:t>
      </w:r>
      <w:r>
        <w:rPr>
          <w:rFonts w:hint="eastAsia" w:ascii="仿宋_GB2312" w:hAnsi="宋体" w:eastAsia="仿宋_GB2312" w:cs="宋体"/>
          <w:kern w:val="0"/>
          <w:sz w:val="32"/>
          <w:szCs w:val="32"/>
        </w:rPr>
        <w:t>级，食品安全监管部门对企业生产场所查封3-7天。</w:t>
      </w:r>
    </w:p>
    <w:p>
      <w:pPr>
        <w:spacing w:line="560" w:lineRule="exact"/>
        <w:ind w:firstLine="674" w:firstLineChars="200"/>
        <w:jc w:val="left"/>
        <w:rPr>
          <w:rFonts w:hint="eastAsia" w:ascii="仿宋_GB2312" w:hAnsi="仿宋_GB2312" w:eastAsia="仿宋_GB2312" w:cs="仿宋_GB2312"/>
          <w:color w:val="000000"/>
          <w:sz w:val="32"/>
          <w:szCs w:val="32"/>
        </w:rPr>
      </w:pPr>
      <w:r>
        <w:rPr>
          <w:rStyle w:val="10"/>
          <w:rFonts w:hint="eastAsia" w:ascii="黑体" w:hAnsi="黑体" w:eastAsia="黑体" w:cs="黑体"/>
          <w:color w:val="000000"/>
          <w:spacing w:val="8"/>
          <w:sz w:val="32"/>
          <w:szCs w:val="32"/>
        </w:rPr>
        <w:t>第十一条</w:t>
      </w:r>
      <w:r>
        <w:rPr>
          <w:rFonts w:hint="eastAsia" w:ascii="黑体" w:hAnsi="仿宋_GB2312" w:eastAsia="黑体" w:cs="仿宋_GB2312"/>
          <w:color w:val="000000"/>
          <w:sz w:val="32"/>
          <w:szCs w:val="32"/>
        </w:rPr>
        <w:t>【食品生产单位重新记分】</w:t>
      </w:r>
      <w:r>
        <w:rPr>
          <w:rFonts w:hint="eastAsia" w:ascii="仿宋_GB2312" w:hAnsi="宋体" w:eastAsia="仿宋_GB2312" w:cs="宋体"/>
          <w:kern w:val="0"/>
          <w:sz w:val="32"/>
          <w:szCs w:val="32"/>
        </w:rPr>
        <w:t>食品生产单位被查封实施后，本次记分清零，食品生产单位应按照法律法规及食品安全标准等要求进行整改；查封时间结束后，未落实整改的，食品安全监管部门可重新对食品生产单位实施累积记分，并第十条的要求进行处理。</w:t>
      </w:r>
    </w:p>
    <w:p>
      <w:pPr>
        <w:widowControl/>
        <w:spacing w:line="560" w:lineRule="exact"/>
        <w:ind w:firstLine="674" w:firstLineChars="200"/>
        <w:jc w:val="left"/>
        <w:rPr>
          <w:rFonts w:hint="eastAsia" w:ascii="仿宋_GB2312" w:hAnsi="宋体" w:eastAsia="仿宋_GB2312" w:cs="宋体"/>
          <w:kern w:val="0"/>
          <w:sz w:val="32"/>
          <w:szCs w:val="32"/>
        </w:rPr>
      </w:pPr>
      <w:r>
        <w:rPr>
          <w:rStyle w:val="10"/>
          <w:rFonts w:hint="eastAsia" w:ascii="黑体" w:hAnsi="黑体" w:eastAsia="黑体" w:cs="黑体"/>
          <w:color w:val="000000"/>
          <w:spacing w:val="8"/>
          <w:sz w:val="32"/>
          <w:szCs w:val="32"/>
        </w:rPr>
        <w:t>第十二条</w:t>
      </w:r>
      <w:r>
        <w:rPr>
          <w:rFonts w:hint="eastAsia" w:ascii="黑体" w:hAnsi="仿宋_GB2312" w:eastAsia="黑体" w:cs="仿宋_GB2312"/>
          <w:color w:val="000000"/>
          <w:sz w:val="32"/>
          <w:szCs w:val="32"/>
        </w:rPr>
        <w:t>【餐饮服务提供者记分等级】</w:t>
      </w:r>
      <w:r>
        <w:rPr>
          <w:rFonts w:hint="eastAsia" w:ascii="仿宋_GB2312" w:hAnsi="仿宋_GB2312" w:eastAsia="仿宋_GB2312" w:cs="仿宋_GB2312"/>
          <w:color w:val="000000"/>
          <w:sz w:val="32"/>
          <w:szCs w:val="32"/>
        </w:rPr>
        <w:t>对餐饮服务提供者违法行为记分与食品安全量化等级结合，违法记分分值</w:t>
      </w:r>
      <w:r>
        <w:rPr>
          <w:rFonts w:hint="eastAsia" w:ascii="仿宋_GB2312" w:hAnsi="宋体" w:eastAsia="仿宋_GB2312" w:cs="宋体"/>
          <w:kern w:val="0"/>
          <w:sz w:val="32"/>
          <w:szCs w:val="32"/>
        </w:rPr>
        <w:t>由低到高分为A（食品安全状况优、食品安全风险低）、B（食品安全状况良、食品安全风险较低）、C（</w:t>
      </w:r>
      <w:r>
        <w:rPr>
          <w:rFonts w:hint="eastAsia" w:ascii="仿宋_GB2312" w:hAnsi="华文仿宋" w:eastAsia="仿宋_GB2312"/>
          <w:color w:val="000000"/>
          <w:sz w:val="32"/>
          <w:szCs w:val="32"/>
        </w:rPr>
        <w:t>食品安全</w:t>
      </w:r>
      <w:r>
        <w:rPr>
          <w:rFonts w:hint="eastAsia" w:ascii="仿宋_GB2312" w:hAnsi="宋体" w:eastAsia="仿宋_GB2312" w:cs="宋体"/>
          <w:kern w:val="0"/>
          <w:sz w:val="32"/>
          <w:szCs w:val="32"/>
        </w:rPr>
        <w:t>状况</w:t>
      </w:r>
      <w:r>
        <w:rPr>
          <w:rFonts w:hint="eastAsia" w:ascii="仿宋_GB2312" w:hAnsi="华文仿宋" w:eastAsia="仿宋_GB2312"/>
          <w:color w:val="000000"/>
          <w:sz w:val="32"/>
          <w:szCs w:val="32"/>
        </w:rPr>
        <w:t>一般、</w:t>
      </w:r>
      <w:r>
        <w:rPr>
          <w:rFonts w:hint="eastAsia" w:ascii="仿宋_GB2312" w:hAnsi="宋体" w:eastAsia="仿宋_GB2312" w:cs="宋体"/>
          <w:kern w:val="0"/>
          <w:sz w:val="32"/>
          <w:szCs w:val="32"/>
        </w:rPr>
        <w:t>食品安全风险待控制</w:t>
      </w:r>
      <w:r>
        <w:rPr>
          <w:rFonts w:hint="eastAsia" w:ascii="仿宋_GB2312" w:hAnsi="华文仿宋" w:eastAsia="仿宋_GB2312"/>
          <w:color w:val="000000"/>
          <w:sz w:val="32"/>
          <w:szCs w:val="32"/>
        </w:rPr>
        <w:t>）</w:t>
      </w:r>
      <w:r>
        <w:rPr>
          <w:rFonts w:hint="eastAsia" w:ascii="仿宋_GB2312" w:hAnsi="宋体" w:eastAsia="仿宋_GB2312" w:cs="宋体"/>
          <w:kern w:val="0"/>
          <w:sz w:val="32"/>
          <w:szCs w:val="32"/>
        </w:rPr>
        <w:t>、D（</w:t>
      </w:r>
      <w:r>
        <w:rPr>
          <w:rFonts w:hint="eastAsia" w:ascii="仿宋_GB2312" w:hAnsi="华文仿宋" w:eastAsia="仿宋_GB2312"/>
          <w:color w:val="000000"/>
          <w:sz w:val="32"/>
          <w:szCs w:val="32"/>
        </w:rPr>
        <w:t>食品安全</w:t>
      </w:r>
      <w:r>
        <w:rPr>
          <w:rFonts w:hint="eastAsia" w:ascii="仿宋_GB2312" w:hAnsi="宋体" w:eastAsia="仿宋_GB2312" w:cs="宋体"/>
          <w:kern w:val="0"/>
          <w:sz w:val="32"/>
          <w:szCs w:val="32"/>
        </w:rPr>
        <w:t>状况</w:t>
      </w:r>
      <w:r>
        <w:rPr>
          <w:rFonts w:hint="eastAsia" w:ascii="仿宋_GB2312" w:hAnsi="华文仿宋" w:eastAsia="仿宋_GB2312"/>
          <w:color w:val="000000"/>
          <w:sz w:val="32"/>
          <w:szCs w:val="32"/>
        </w:rPr>
        <w:t>差、</w:t>
      </w:r>
      <w:r>
        <w:rPr>
          <w:rFonts w:hint="eastAsia" w:ascii="仿宋_GB2312" w:hAnsi="宋体" w:eastAsia="仿宋_GB2312" w:cs="宋体"/>
          <w:kern w:val="0"/>
          <w:sz w:val="32"/>
          <w:szCs w:val="32"/>
        </w:rPr>
        <w:t>食品安全风险高）四级。</w:t>
      </w:r>
    </w:p>
    <w:p>
      <w:pPr>
        <w:widowControl/>
        <w:spacing w:line="560" w:lineRule="exact"/>
        <w:ind w:firstLine="640" w:firstLineChars="200"/>
        <w:jc w:val="left"/>
        <w:rPr>
          <w:rStyle w:val="10"/>
          <w:rFonts w:hint="eastAsia" w:ascii="黑体" w:hAnsi="黑体" w:eastAsia="黑体" w:cs="黑体"/>
          <w:color w:val="000000"/>
          <w:spacing w:val="8"/>
          <w:sz w:val="32"/>
          <w:szCs w:val="32"/>
        </w:rPr>
      </w:pPr>
      <w:r>
        <w:rPr>
          <w:rFonts w:hint="eastAsia" w:ascii="仿宋_GB2312" w:hAnsi="宋体" w:eastAsia="仿宋_GB2312" w:cs="宋体"/>
          <w:kern w:val="0"/>
          <w:sz w:val="32"/>
          <w:szCs w:val="32"/>
        </w:rPr>
        <w:t>餐饮服务提供者量化评级的具体要求，另见食品安全监管部门的有关规定。</w:t>
      </w:r>
    </w:p>
    <w:p>
      <w:pPr>
        <w:widowControl/>
        <w:spacing w:line="560" w:lineRule="exact"/>
        <w:ind w:firstLine="674" w:firstLineChars="200"/>
        <w:jc w:val="left"/>
        <w:rPr>
          <w:rFonts w:hint="eastAsia" w:ascii="黑体" w:hAnsi="仿宋_GB2312" w:eastAsia="黑体" w:cs="仿宋_GB2312"/>
          <w:color w:val="000000"/>
          <w:sz w:val="32"/>
          <w:szCs w:val="32"/>
        </w:rPr>
      </w:pPr>
      <w:r>
        <w:rPr>
          <w:rFonts w:hint="eastAsia" w:ascii="黑体" w:hAnsi="黑体" w:eastAsia="黑体" w:cs="黑体"/>
          <w:b/>
          <w:color w:val="000000"/>
          <w:spacing w:val="8"/>
          <w:sz w:val="32"/>
          <w:szCs w:val="32"/>
        </w:rPr>
        <w:t>第十三条</w:t>
      </w:r>
      <w:r>
        <w:rPr>
          <w:rFonts w:hint="eastAsia" w:ascii="黑体" w:hAnsi="仿宋_GB2312" w:eastAsia="黑体" w:cs="仿宋_GB2312"/>
          <w:color w:val="000000"/>
          <w:sz w:val="32"/>
          <w:szCs w:val="32"/>
        </w:rPr>
        <w:t>【餐饮服务提供者记分后查处】</w:t>
      </w:r>
      <w:r>
        <w:rPr>
          <w:rFonts w:hint="eastAsia" w:ascii="仿宋_GB2312" w:hAnsi="仿宋_GB2312" w:eastAsia="仿宋_GB2312" w:cs="仿宋_GB2312"/>
          <w:color w:val="000000"/>
          <w:sz w:val="32"/>
          <w:szCs w:val="32"/>
        </w:rPr>
        <w:t>食品安全监管部门对餐饮服务提供者年度记分周期内的违法行为累积记分，应当按照以下情形查处：</w:t>
      </w:r>
    </w:p>
    <w:p>
      <w:pPr>
        <w:widowControl/>
        <w:spacing w:line="560" w:lineRule="exact"/>
        <w:ind w:firstLine="640" w:firstLineChars="200"/>
        <w:jc w:val="left"/>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kern w:val="0"/>
          <w:sz w:val="32"/>
          <w:szCs w:val="32"/>
        </w:rPr>
        <w:t>（一）达到15分的，由食品安全监管部门将其食品安全量化风险等级降为C级，</w:t>
      </w:r>
      <w:r>
        <w:rPr>
          <w:rFonts w:hint="eastAsia" w:ascii="仿宋_GB2312" w:hAnsi="宋体" w:eastAsia="仿宋_GB2312" w:cs="宋体"/>
          <w:kern w:val="0"/>
          <w:sz w:val="32"/>
          <w:szCs w:val="32"/>
        </w:rPr>
        <w:t>加强食品安全风险防控；</w:t>
      </w:r>
    </w:p>
    <w:p>
      <w:pPr>
        <w:widowControl/>
        <w:spacing w:line="560" w:lineRule="exact"/>
        <w:ind w:firstLine="640" w:firstLineChars="200"/>
        <w:jc w:val="left"/>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kern w:val="0"/>
          <w:sz w:val="32"/>
          <w:szCs w:val="32"/>
        </w:rPr>
        <w:t>（二）达到</w:t>
      </w:r>
      <w:r>
        <w:rPr>
          <w:rFonts w:hint="eastAsia" w:ascii="仿宋_GB2312" w:hAnsi="仿宋_GB2312" w:eastAsia="仿宋_GB2312" w:cs="仿宋_GB2312"/>
          <w:color w:val="000000"/>
          <w:spacing w:val="8"/>
          <w:kern w:val="0"/>
          <w:sz w:val="32"/>
          <w:szCs w:val="32"/>
        </w:rPr>
        <w:t>20分的，</w:t>
      </w:r>
      <w:r>
        <w:rPr>
          <w:rFonts w:hint="eastAsia" w:ascii="仿宋_GB2312" w:hAnsi="仿宋_GB2312" w:eastAsia="仿宋_GB2312" w:cs="仿宋_GB2312"/>
          <w:color w:val="000000"/>
          <w:kern w:val="0"/>
          <w:sz w:val="32"/>
          <w:szCs w:val="32"/>
        </w:rPr>
        <w:t>由食品安全监管部门将其食品安全量化风险等级降到D级，并</w:t>
      </w:r>
      <w:r>
        <w:rPr>
          <w:rFonts w:hint="eastAsia" w:ascii="仿宋_GB2312" w:hAnsi="仿宋_GB2312" w:eastAsia="仿宋_GB2312" w:cs="仿宋_GB2312"/>
          <w:color w:val="000000"/>
          <w:spacing w:val="8"/>
          <w:kern w:val="0"/>
          <w:sz w:val="32"/>
          <w:szCs w:val="32"/>
        </w:rPr>
        <w:t>查封其经营场所至少3天，向社会公告，待整改符合要求才能申请开业；</w:t>
      </w:r>
    </w:p>
    <w:p>
      <w:pPr>
        <w:widowControl/>
        <w:numPr>
          <w:ilvl w:val="0"/>
          <w:numId w:val="1"/>
        </w:numPr>
        <w:spacing w:line="560" w:lineRule="exact"/>
        <w:ind w:firstLine="640" w:firstLineChars="200"/>
        <w:jc w:val="left"/>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kern w:val="0"/>
          <w:sz w:val="32"/>
          <w:szCs w:val="32"/>
        </w:rPr>
        <w:t>达到30分的，由食品安全监管部门查封其经营场所至少7天，</w:t>
      </w:r>
      <w:r>
        <w:rPr>
          <w:rFonts w:hint="eastAsia" w:ascii="仿宋_GB2312" w:hAnsi="仿宋_GB2312" w:eastAsia="仿宋_GB2312" w:cs="仿宋_GB2312"/>
          <w:color w:val="000000"/>
          <w:spacing w:val="8"/>
          <w:kern w:val="0"/>
          <w:sz w:val="32"/>
          <w:szCs w:val="32"/>
        </w:rPr>
        <w:t>向社会公告，待整改符合要求才能申请开业。</w:t>
      </w:r>
    </w:p>
    <w:p>
      <w:pPr>
        <w:widowControl/>
        <w:spacing w:line="560" w:lineRule="exact"/>
        <w:ind w:firstLine="640" w:firstLineChars="200"/>
        <w:jc w:val="left"/>
        <w:rPr>
          <w:rFonts w:hint="eastAsia" w:ascii="仿宋_GB2312" w:hAnsi="宋体" w:eastAsia="仿宋_GB2312"/>
          <w:color w:val="000000"/>
          <w:spacing w:val="8"/>
          <w:kern w:val="0"/>
          <w:sz w:val="32"/>
          <w:szCs w:val="32"/>
        </w:rPr>
      </w:pPr>
      <w:r>
        <w:rPr>
          <w:rFonts w:hint="eastAsia" w:ascii="仿宋_GB2312" w:hAnsi="仿宋_GB2312" w:eastAsia="仿宋_GB2312" w:cs="仿宋_GB2312"/>
          <w:color w:val="000000"/>
          <w:kern w:val="0"/>
          <w:sz w:val="32"/>
          <w:szCs w:val="32"/>
        </w:rPr>
        <w:t>有</w:t>
      </w:r>
      <w:r>
        <w:rPr>
          <w:rFonts w:hint="eastAsia" w:ascii="仿宋_GB2312" w:hAnsi="仿宋_GB2312" w:eastAsia="仿宋_GB2312" w:cs="仿宋_GB2312"/>
          <w:color w:val="000000"/>
          <w:sz w:val="32"/>
          <w:szCs w:val="32"/>
        </w:rPr>
        <w:t>法律、法规规定违法行为可适用吊销许可证行政处罚的，或者当年度已第二次达到20分的，应当吊销其食品生产经营许可证</w:t>
      </w:r>
      <w:r>
        <w:rPr>
          <w:rFonts w:hint="eastAsia" w:ascii="仿宋_GB2312" w:hAnsi="宋体" w:eastAsia="仿宋_GB2312"/>
          <w:color w:val="000000"/>
          <w:spacing w:val="8"/>
          <w:kern w:val="0"/>
          <w:sz w:val="32"/>
          <w:szCs w:val="32"/>
        </w:rPr>
        <w:t>。</w:t>
      </w:r>
    </w:p>
    <w:p>
      <w:pPr>
        <w:widowControl/>
        <w:spacing w:line="560" w:lineRule="exact"/>
        <w:ind w:firstLine="674" w:firstLineChars="200"/>
        <w:jc w:val="left"/>
        <w:rPr>
          <w:rFonts w:hint="eastAsia" w:ascii="仿宋_GB2312" w:hAnsi="宋体" w:eastAsia="仿宋_GB2312"/>
          <w:color w:val="000000"/>
          <w:spacing w:val="8"/>
          <w:kern w:val="0"/>
          <w:sz w:val="32"/>
          <w:szCs w:val="32"/>
        </w:rPr>
      </w:pPr>
      <w:r>
        <w:rPr>
          <w:rFonts w:hint="eastAsia" w:ascii="黑体" w:hAnsi="黑体" w:eastAsia="黑体" w:cs="黑体"/>
          <w:b/>
          <w:color w:val="000000"/>
          <w:spacing w:val="8"/>
          <w:sz w:val="32"/>
          <w:szCs w:val="32"/>
        </w:rPr>
        <w:t>第十四条</w:t>
      </w:r>
      <w:r>
        <w:rPr>
          <w:rFonts w:hint="eastAsia" w:ascii="黑体" w:hAnsi="仿宋_GB2312" w:eastAsia="黑体" w:cs="仿宋_GB2312"/>
          <w:color w:val="000000"/>
          <w:sz w:val="32"/>
          <w:szCs w:val="32"/>
        </w:rPr>
        <w:t>【餐饮服务提供者查封后年度内的再次记分】</w:t>
      </w:r>
      <w:r>
        <w:rPr>
          <w:rFonts w:hint="eastAsia" w:ascii="仿宋_GB2312" w:hAnsi="仿宋_GB2312" w:eastAsia="仿宋_GB2312" w:cs="仿宋_GB2312"/>
          <w:color w:val="000000"/>
          <w:sz w:val="32"/>
          <w:szCs w:val="32"/>
        </w:rPr>
        <w:t>如餐饮服务提供者在12个月内被查封后，再次或多次又被违法记分达到查封分值的，则分值以本记分年度内上次查封后被记的分数计算起，又达到查封分值，依据本文第十二、十三条的规定查处。</w:t>
      </w:r>
    </w:p>
    <w:p>
      <w:pPr>
        <w:pStyle w:val="6"/>
        <w:spacing w:before="0" w:beforeAutospacing="0" w:after="0" w:afterAutospacing="0" w:line="560" w:lineRule="exact"/>
        <w:ind w:firstLine="674" w:firstLineChars="200"/>
        <w:rPr>
          <w:rFonts w:hint="eastAsia" w:ascii="仿宋_GB2312" w:hAnsi="仿宋_GB2312" w:eastAsia="仿宋_GB2312" w:cs="仿宋_GB2312"/>
          <w:color w:val="000000"/>
          <w:kern w:val="2"/>
          <w:sz w:val="32"/>
          <w:szCs w:val="32"/>
        </w:rPr>
      </w:pPr>
      <w:r>
        <w:rPr>
          <w:rFonts w:hint="eastAsia" w:ascii="黑体" w:hAnsi="黑体" w:eastAsia="黑体" w:cs="黑体"/>
          <w:b/>
          <w:color w:val="000000"/>
          <w:spacing w:val="8"/>
          <w:sz w:val="32"/>
          <w:szCs w:val="32"/>
        </w:rPr>
        <w:t>第十五条</w:t>
      </w:r>
      <w:r>
        <w:rPr>
          <w:rFonts w:hint="eastAsia" w:ascii="黑体" w:hAnsi="仿宋_GB2312" w:eastAsia="黑体" w:cs="仿宋_GB2312"/>
          <w:color w:val="000000"/>
          <w:sz w:val="32"/>
          <w:szCs w:val="32"/>
        </w:rPr>
        <w:t>【检查结果公示】</w:t>
      </w:r>
      <w:r>
        <w:rPr>
          <w:rFonts w:hint="eastAsia" w:ascii="仿宋_GB2312" w:hAnsi="仿宋_GB2312" w:eastAsia="仿宋_GB2312" w:cs="仿宋_GB2312"/>
          <w:color w:val="000000"/>
          <w:kern w:val="2"/>
          <w:sz w:val="32"/>
          <w:szCs w:val="32"/>
        </w:rPr>
        <w:t xml:space="preserve"> 食品安全监管部门应当于监督检查结束后2个工作日内，向社会公开监督检查时间、检查结果和检查人员姓名等信息，并在生产经营场所醒目位置张贴监督检查结果记录表。</w:t>
      </w:r>
    </w:p>
    <w:p>
      <w:pPr>
        <w:pStyle w:val="6"/>
        <w:spacing w:before="0" w:beforeAutospacing="0" w:after="0" w:afterAutospacing="0" w:line="560" w:lineRule="exact"/>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食品生产经营者应当将张贴监督检查结果记录表保持至下次日常监督检查。</w:t>
      </w:r>
    </w:p>
    <w:p>
      <w:pPr>
        <w:widowControl/>
        <w:spacing w:line="560" w:lineRule="exact"/>
        <w:ind w:firstLine="674" w:firstLineChars="200"/>
        <w:jc w:val="left"/>
        <w:rPr>
          <w:rFonts w:hint="eastAsia" w:ascii="仿宋_GB2312" w:hAnsi="宋体" w:eastAsia="仿宋_GB2312"/>
          <w:color w:val="000000"/>
          <w:spacing w:val="8"/>
          <w:kern w:val="0"/>
          <w:sz w:val="32"/>
          <w:szCs w:val="32"/>
        </w:rPr>
      </w:pPr>
      <w:r>
        <w:rPr>
          <w:rFonts w:hint="eastAsia" w:ascii="黑体" w:hAnsi="黑体" w:eastAsia="黑体" w:cs="黑体"/>
          <w:b/>
          <w:color w:val="000000"/>
          <w:spacing w:val="8"/>
          <w:sz w:val="32"/>
          <w:szCs w:val="32"/>
        </w:rPr>
        <w:t>第十六条</w:t>
      </w:r>
      <w:r>
        <w:rPr>
          <w:rFonts w:hint="eastAsia" w:ascii="黑体" w:hAnsi="仿宋_GB2312" w:eastAsia="黑体" w:cs="仿宋_GB2312"/>
          <w:color w:val="000000"/>
          <w:sz w:val="32"/>
          <w:szCs w:val="32"/>
        </w:rPr>
        <w:t>【未按规定停业的查处】</w:t>
      </w:r>
      <w:r>
        <w:rPr>
          <w:rFonts w:hint="eastAsia" w:ascii="仿宋_GB2312" w:hAnsi="仿宋_GB2312" w:eastAsia="仿宋_GB2312" w:cs="仿宋_GB2312"/>
          <w:color w:val="000000"/>
          <w:sz w:val="32"/>
          <w:szCs w:val="32"/>
        </w:rPr>
        <w:t>食品生产经营</w:t>
      </w:r>
      <w:r>
        <w:rPr>
          <w:rFonts w:hint="eastAsia" w:ascii="仿宋_GB2312" w:hAnsi="仿宋_GB2312" w:eastAsia="仿宋_GB2312" w:cs="仿宋_GB2312"/>
          <w:color w:val="000000"/>
          <w:kern w:val="0"/>
          <w:sz w:val="32"/>
          <w:szCs w:val="32"/>
        </w:rPr>
        <w:t>者被查封但</w:t>
      </w:r>
      <w:r>
        <w:rPr>
          <w:rFonts w:hint="eastAsia" w:ascii="仿宋_GB2312" w:hAnsi="宋体" w:eastAsia="仿宋_GB2312"/>
          <w:color w:val="000000"/>
          <w:spacing w:val="8"/>
          <w:kern w:val="0"/>
          <w:sz w:val="32"/>
          <w:szCs w:val="32"/>
        </w:rPr>
        <w:t>未依法进行停业整改而对外营业的，由食品安全监管部门依据《中华人民共和国食品安全法》第一百二十六条第一款的规定进行处罚。</w:t>
      </w:r>
    </w:p>
    <w:p>
      <w:pPr>
        <w:pStyle w:val="6"/>
        <w:spacing w:before="0" w:beforeAutospacing="0" w:after="0" w:afterAutospacing="0" w:line="560" w:lineRule="exact"/>
        <w:ind w:firstLine="634"/>
        <w:jc w:val="both"/>
        <w:rPr>
          <w:rFonts w:hint="eastAsia" w:ascii="黑体" w:hAnsi="仿宋_GB2312" w:eastAsia="黑体" w:cs="仿宋_GB2312"/>
          <w:color w:val="000000"/>
          <w:sz w:val="32"/>
          <w:szCs w:val="32"/>
        </w:rPr>
      </w:pPr>
      <w:r>
        <w:rPr>
          <w:rFonts w:hint="eastAsia" w:ascii="黑体" w:hAnsi="黑体" w:eastAsia="黑体" w:cs="黑体"/>
          <w:b/>
          <w:color w:val="000000"/>
          <w:spacing w:val="8"/>
          <w:sz w:val="32"/>
          <w:szCs w:val="32"/>
        </w:rPr>
        <w:t>第十七条</w:t>
      </w:r>
      <w:r>
        <w:rPr>
          <w:rFonts w:hint="eastAsia" w:ascii="黑体" w:hAnsi="仿宋_GB2312" w:eastAsia="黑体" w:cs="仿宋_GB2312"/>
          <w:color w:val="000000"/>
          <w:sz w:val="32"/>
          <w:szCs w:val="32"/>
        </w:rPr>
        <w:t>【餐饮服务提供者查封后的开业条件】</w:t>
      </w:r>
      <w:r>
        <w:rPr>
          <w:rFonts w:hint="eastAsia" w:ascii="仿宋_GB2312" w:hAnsi="仿宋_GB2312" w:eastAsia="仿宋_GB2312" w:cs="仿宋_GB2312"/>
          <w:color w:val="000000"/>
          <w:spacing w:val="8"/>
          <w:sz w:val="32"/>
          <w:szCs w:val="32"/>
        </w:rPr>
        <w:t>被查封停止生产经营的餐饮服务提供者需要符合以下条件，向食品安全监管部门申请恢复经营：</w:t>
      </w:r>
    </w:p>
    <w:p>
      <w:pPr>
        <w:widowControl/>
        <w:numPr>
          <w:ilvl w:val="0"/>
          <w:numId w:val="2"/>
        </w:numPr>
        <w:spacing w:line="560" w:lineRule="exact"/>
        <w:ind w:firstLine="672" w:firstLineChars="200"/>
        <w:jc w:val="left"/>
        <w:rPr>
          <w:rFonts w:hint="eastAsia" w:ascii="仿宋_GB2312" w:hAnsi="宋体" w:eastAsia="仿宋_GB2312" w:cs="宋体"/>
          <w:kern w:val="0"/>
          <w:sz w:val="32"/>
          <w:szCs w:val="32"/>
        </w:rPr>
      </w:pPr>
      <w:r>
        <w:rPr>
          <w:rFonts w:hint="eastAsia" w:ascii="仿宋_GB2312" w:hAnsi="仿宋_GB2312" w:eastAsia="仿宋_GB2312" w:cs="仿宋_GB2312"/>
          <w:color w:val="000000"/>
          <w:spacing w:val="8"/>
          <w:kern w:val="0"/>
          <w:sz w:val="32"/>
          <w:szCs w:val="32"/>
        </w:rPr>
        <w:t>被</w:t>
      </w:r>
      <w:r>
        <w:rPr>
          <w:rFonts w:hint="eastAsia" w:ascii="仿宋_GB2312" w:hAnsi="宋体" w:eastAsia="仿宋_GB2312" w:cs="宋体"/>
          <w:kern w:val="0"/>
          <w:sz w:val="32"/>
          <w:szCs w:val="32"/>
        </w:rPr>
        <w:t>查封</w:t>
      </w:r>
      <w:r>
        <w:rPr>
          <w:rFonts w:hint="eastAsia" w:ascii="仿宋_GB2312" w:hAnsi="仿宋_GB2312" w:eastAsia="仿宋_GB2312" w:cs="仿宋_GB2312"/>
          <w:color w:val="000000"/>
          <w:spacing w:val="8"/>
          <w:sz w:val="32"/>
          <w:szCs w:val="32"/>
        </w:rPr>
        <w:t>停业整改的</w:t>
      </w:r>
      <w:r>
        <w:rPr>
          <w:rFonts w:hint="eastAsia" w:ascii="仿宋_GB2312" w:hAnsi="宋体" w:eastAsia="仿宋_GB2312" w:cs="宋体"/>
          <w:kern w:val="0"/>
          <w:sz w:val="32"/>
          <w:szCs w:val="32"/>
        </w:rPr>
        <w:t>时间达到</w:t>
      </w:r>
      <w:r>
        <w:rPr>
          <w:rFonts w:hint="eastAsia" w:ascii="仿宋_GB2312" w:hAnsi="仿宋_GB2312" w:eastAsia="仿宋_GB2312" w:cs="仿宋_GB2312"/>
          <w:color w:val="000000"/>
          <w:sz w:val="32"/>
          <w:szCs w:val="32"/>
        </w:rPr>
        <w:t>十三条规定的</w:t>
      </w:r>
      <w:r>
        <w:rPr>
          <w:rFonts w:hint="eastAsia" w:ascii="仿宋_GB2312" w:hAnsi="宋体" w:eastAsia="仿宋_GB2312" w:cs="宋体"/>
          <w:kern w:val="0"/>
          <w:sz w:val="32"/>
          <w:szCs w:val="32"/>
        </w:rPr>
        <w:t>最低的天数；</w:t>
      </w:r>
    </w:p>
    <w:p>
      <w:pPr>
        <w:widowControl/>
        <w:numPr>
          <w:ilvl w:val="0"/>
          <w:numId w:val="2"/>
        </w:numPr>
        <w:spacing w:line="560" w:lineRule="exact"/>
        <w:ind w:firstLine="672" w:firstLineChars="200"/>
        <w:jc w:val="left"/>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pacing w:val="8"/>
          <w:kern w:val="0"/>
          <w:sz w:val="32"/>
          <w:szCs w:val="32"/>
        </w:rPr>
        <w:t>违法记分事项已按监管要求整改；</w:t>
      </w:r>
    </w:p>
    <w:p>
      <w:pPr>
        <w:widowControl/>
        <w:spacing w:line="560" w:lineRule="exact"/>
        <w:ind w:firstLine="672" w:firstLineChars="200"/>
        <w:jc w:val="left"/>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kern w:val="0"/>
          <w:sz w:val="32"/>
          <w:szCs w:val="32"/>
        </w:rPr>
        <w:t>（三）</w:t>
      </w:r>
      <w:r>
        <w:rPr>
          <w:rFonts w:hint="eastAsia" w:ascii="仿宋_GB2312" w:hAnsi="仿宋_GB2312" w:eastAsia="仿宋_GB2312" w:cs="仿宋_GB2312"/>
          <w:color w:val="000000"/>
          <w:spacing w:val="8"/>
          <w:sz w:val="32"/>
          <w:szCs w:val="32"/>
        </w:rPr>
        <w:t>法人或负责人、食品安全管理员（或委托专业机构的负责专员）、厨师长应重新通过食品安全监管部门规定的食品安全知识培训和考核；</w:t>
      </w:r>
    </w:p>
    <w:p>
      <w:pPr>
        <w:widowControl/>
        <w:spacing w:line="560" w:lineRule="exact"/>
        <w:ind w:firstLine="672" w:firstLineChars="200"/>
        <w:jc w:val="left"/>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pacing w:val="8"/>
          <w:sz w:val="32"/>
          <w:szCs w:val="32"/>
        </w:rPr>
        <w:t>（四）</w:t>
      </w:r>
      <w:r>
        <w:rPr>
          <w:rFonts w:hint="eastAsia" w:ascii="仿宋_GB2312" w:hAnsi="仿宋_GB2312" w:eastAsia="仿宋_GB2312" w:cs="仿宋_GB2312"/>
          <w:color w:val="000000"/>
          <w:spacing w:val="8"/>
          <w:kern w:val="0"/>
          <w:sz w:val="32"/>
          <w:szCs w:val="32"/>
        </w:rPr>
        <w:t>提交申请营业的整改报告及有关证明材料。</w:t>
      </w:r>
    </w:p>
    <w:p>
      <w:pPr>
        <w:widowControl/>
        <w:spacing w:line="560" w:lineRule="exact"/>
        <w:ind w:firstLine="672"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8"/>
          <w:sz w:val="32"/>
          <w:szCs w:val="32"/>
        </w:rPr>
        <w:t>食品安全监管部门应在收到申请三个工作日内回复申请者</w:t>
      </w:r>
      <w:r>
        <w:rPr>
          <w:rFonts w:hint="eastAsia" w:ascii="仿宋_GB2312" w:hAnsi="仿宋_GB2312" w:eastAsia="仿宋_GB2312" w:cs="仿宋_GB2312"/>
          <w:color w:val="000000"/>
          <w:sz w:val="32"/>
          <w:szCs w:val="32"/>
        </w:rPr>
        <w:t>，对经过核查整改情况达到要求的同意恢复经营，对未达到整改要求的须书面告知申请者具体原由。</w:t>
      </w:r>
    </w:p>
    <w:p>
      <w:pPr>
        <w:widowControl/>
        <w:spacing w:line="560" w:lineRule="exact"/>
        <w:ind w:firstLine="672" w:firstLineChars="200"/>
        <w:jc w:val="left"/>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食品安全监管部门可以委托第三方专业机构承担查封后专业整改事项的评估和监理，对</w:t>
      </w:r>
      <w:r>
        <w:rPr>
          <w:rFonts w:hint="eastAsia" w:ascii="仿宋_GB2312" w:hAnsi="仿宋_GB2312" w:eastAsia="仿宋_GB2312" w:cs="仿宋_GB2312"/>
          <w:color w:val="000000"/>
          <w:sz w:val="32"/>
          <w:szCs w:val="32"/>
        </w:rPr>
        <w:t>食品生产经营</w:t>
      </w:r>
      <w:r>
        <w:rPr>
          <w:rFonts w:hint="eastAsia" w:ascii="仿宋_GB2312" w:hAnsi="仿宋_GB2312" w:eastAsia="仿宋_GB2312" w:cs="仿宋_GB2312"/>
          <w:color w:val="000000"/>
          <w:kern w:val="0"/>
          <w:sz w:val="32"/>
          <w:szCs w:val="32"/>
        </w:rPr>
        <w:t>者</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pacing w:val="8"/>
          <w:sz w:val="32"/>
          <w:szCs w:val="32"/>
        </w:rPr>
        <w:t>评估不得收费。</w:t>
      </w:r>
    </w:p>
    <w:p>
      <w:pPr>
        <w:spacing w:line="560" w:lineRule="exact"/>
        <w:ind w:firstLine="674" w:firstLineChars="200"/>
        <w:jc w:val="left"/>
        <w:rPr>
          <w:rFonts w:hint="eastAsia" w:ascii="仿宋_GB2312" w:hAnsi="仿宋_GB2312" w:eastAsia="仿宋_GB2312" w:cs="仿宋_GB2312"/>
          <w:color w:val="000000"/>
          <w:spacing w:val="8"/>
          <w:sz w:val="32"/>
          <w:szCs w:val="32"/>
        </w:rPr>
      </w:pPr>
      <w:r>
        <w:rPr>
          <w:rFonts w:hint="eastAsia" w:ascii="黑体" w:hAnsi="黑体" w:eastAsia="黑体" w:cs="黑体"/>
          <w:b/>
          <w:color w:val="000000"/>
          <w:spacing w:val="8"/>
          <w:kern w:val="0"/>
          <w:sz w:val="32"/>
          <w:szCs w:val="32"/>
        </w:rPr>
        <w:t xml:space="preserve">第十八条 </w:t>
      </w:r>
      <w:r>
        <w:rPr>
          <w:rStyle w:val="10"/>
          <w:rFonts w:hint="eastAsia" w:ascii="黑体" w:hAnsi="黑体" w:eastAsia="黑体" w:cs="黑体"/>
          <w:color w:val="000000"/>
          <w:spacing w:val="8"/>
          <w:sz w:val="32"/>
          <w:szCs w:val="32"/>
        </w:rPr>
        <w:t>（记分后的培训和考核）</w:t>
      </w:r>
      <w:r>
        <w:rPr>
          <w:rFonts w:hint="eastAsia" w:ascii="仿宋_GB2312" w:hAnsi="仿宋_GB2312" w:eastAsia="仿宋_GB2312" w:cs="仿宋_GB2312"/>
          <w:color w:val="000000"/>
          <w:spacing w:val="8"/>
          <w:sz w:val="32"/>
          <w:szCs w:val="32"/>
        </w:rPr>
        <w:t xml:space="preserve"> </w:t>
      </w:r>
    </w:p>
    <w:p>
      <w:pPr>
        <w:pStyle w:val="6"/>
        <w:spacing w:before="0" w:beforeAutospacing="0" w:after="0" w:afterAutospacing="0" w:line="560" w:lineRule="exact"/>
        <w:ind w:firstLine="640" w:firstLineChars="200"/>
        <w:jc w:val="both"/>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color w:val="000000"/>
          <w:sz w:val="32"/>
          <w:szCs w:val="32"/>
        </w:rPr>
        <w:t>食品生产经营者</w:t>
      </w:r>
      <w:r>
        <w:rPr>
          <w:rFonts w:hint="eastAsia" w:ascii="仿宋_GB2312" w:hAnsi="仿宋_GB2312" w:eastAsia="仿宋_GB2312" w:cs="仿宋_GB2312"/>
          <w:color w:val="000000"/>
          <w:spacing w:val="8"/>
          <w:sz w:val="32"/>
          <w:szCs w:val="32"/>
        </w:rPr>
        <w:t>在年度累积记分达到查封分值的，餐饮服务提供者的法人或负责人、厨师长、食品安全管理员应在申请开业前重新通过食品安全监管部门规定的食品安全培训和考核。</w:t>
      </w:r>
    </w:p>
    <w:p>
      <w:pPr>
        <w:pStyle w:val="6"/>
        <w:spacing w:before="0" w:beforeAutospacing="0" w:after="0" w:afterAutospacing="0" w:line="560" w:lineRule="exact"/>
        <w:ind w:firstLine="672" w:firstLineChars="200"/>
        <w:jc w:val="both"/>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食品生产单位被查封后，该企业法人或负责人、食品安全管理人员应参加食品安全监管部门规定的相应岗位食品安全培训和考核，具体培训考核办法另行制定。</w:t>
      </w:r>
    </w:p>
    <w:p>
      <w:pPr>
        <w:pStyle w:val="6"/>
        <w:spacing w:before="0" w:beforeAutospacing="0" w:after="0" w:afterAutospacing="0" w:line="560" w:lineRule="exact"/>
        <w:ind w:firstLine="672" w:firstLineChars="200"/>
        <w:jc w:val="both"/>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 xml:space="preserve">食品安全监管部门可以委托专业机构承担，考核不得收费。   </w:t>
      </w:r>
    </w:p>
    <w:p>
      <w:pPr>
        <w:pStyle w:val="6"/>
        <w:spacing w:before="0" w:beforeAutospacing="0" w:after="0" w:afterAutospacing="0" w:line="560" w:lineRule="exact"/>
        <w:ind w:firstLine="636"/>
        <w:jc w:val="both"/>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 xml:space="preserve">本项规定的人员在重新通过评估考核前取得的食品安全培训合格证明，视作无效。 </w:t>
      </w:r>
    </w:p>
    <w:p>
      <w:pPr>
        <w:pStyle w:val="6"/>
        <w:spacing w:before="0" w:beforeAutospacing="0" w:after="0" w:afterAutospacing="0" w:line="560" w:lineRule="exact"/>
        <w:ind w:firstLine="672" w:firstLineChars="200"/>
        <w:jc w:val="both"/>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本项规定不适用于吊销许可证的</w:t>
      </w:r>
      <w:r>
        <w:rPr>
          <w:rFonts w:hint="eastAsia" w:ascii="仿宋_GB2312" w:hAnsi="仿宋_GB2312" w:eastAsia="仿宋_GB2312" w:cs="仿宋_GB2312"/>
          <w:color w:val="000000"/>
          <w:sz w:val="32"/>
          <w:szCs w:val="32"/>
        </w:rPr>
        <w:t>食品生产经营者</w:t>
      </w:r>
      <w:r>
        <w:rPr>
          <w:rFonts w:hint="eastAsia" w:ascii="仿宋_GB2312" w:hAnsi="仿宋_GB2312" w:eastAsia="仿宋_GB2312" w:cs="仿宋_GB2312"/>
          <w:color w:val="000000"/>
          <w:spacing w:val="8"/>
          <w:sz w:val="32"/>
          <w:szCs w:val="32"/>
        </w:rPr>
        <w:t xml:space="preserve">。 </w:t>
      </w:r>
    </w:p>
    <w:p>
      <w:pPr>
        <w:pStyle w:val="6"/>
        <w:spacing w:before="0" w:beforeAutospacing="0" w:after="0" w:afterAutospacing="0" w:line="560" w:lineRule="exact"/>
        <w:ind w:firstLine="640" w:firstLineChars="200"/>
        <w:jc w:val="both"/>
        <w:rPr>
          <w:rStyle w:val="10"/>
          <w:rFonts w:hint="eastAsia" w:ascii="黑体" w:hAnsi="黑体" w:eastAsia="黑体" w:cs="黑体"/>
          <w:kern w:val="2"/>
          <w:sz w:val="32"/>
          <w:szCs w:val="32"/>
        </w:rPr>
      </w:pPr>
      <w:r>
        <w:rPr>
          <w:rFonts w:hint="eastAsia" w:ascii="黑体" w:hAnsi="黑体" w:eastAsia="黑体" w:cs="仿宋_GB2312"/>
          <w:color w:val="000000"/>
          <w:sz w:val="32"/>
          <w:szCs w:val="32"/>
        </w:rPr>
        <w:t>第十九条（未按规定参加培训或通过考核的处理）</w:t>
      </w:r>
      <w:r>
        <w:rPr>
          <w:rStyle w:val="10"/>
          <w:rFonts w:hint="eastAsia" w:ascii="黑体" w:hAnsi="黑体" w:eastAsia="黑体" w:cs="黑体"/>
          <w:kern w:val="2"/>
          <w:sz w:val="32"/>
          <w:szCs w:val="32"/>
        </w:rPr>
        <w:t xml:space="preserve"> </w:t>
      </w:r>
    </w:p>
    <w:p>
      <w:pPr>
        <w:pStyle w:val="6"/>
        <w:spacing w:before="0" w:beforeAutospacing="0" w:after="0" w:afterAutospacing="0" w:line="560" w:lineRule="exact"/>
        <w:ind w:firstLine="672" w:firstLineChars="200"/>
        <w:jc w:val="both"/>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法人或负责人、厨师长或食品安全管理员未按本办法第十八条第一款的规定参加食品安全知识培训,或者参加培训后未通过评估考核的，食品安全监管部门可以将相关</w:t>
      </w:r>
      <w:r>
        <w:rPr>
          <w:rFonts w:hint="eastAsia" w:ascii="仿宋_GB2312" w:hAnsi="仿宋_GB2312" w:eastAsia="仿宋_GB2312" w:cs="仿宋_GB2312"/>
          <w:color w:val="000000"/>
          <w:sz w:val="32"/>
          <w:szCs w:val="32"/>
        </w:rPr>
        <w:t>食品生产经营者</w:t>
      </w:r>
      <w:r>
        <w:rPr>
          <w:rFonts w:hint="eastAsia" w:ascii="仿宋_GB2312" w:hAnsi="仿宋_GB2312" w:eastAsia="仿宋_GB2312" w:cs="仿宋_GB2312"/>
          <w:color w:val="000000"/>
          <w:spacing w:val="8"/>
          <w:sz w:val="32"/>
          <w:szCs w:val="32"/>
        </w:rPr>
        <w:t>的累积记分情况和相关人员未按规定参加培训或者未通过评估考核的情况向社会公布,并在该</w:t>
      </w:r>
      <w:r>
        <w:rPr>
          <w:rFonts w:hint="eastAsia" w:ascii="仿宋_GB2312" w:hAnsi="仿宋_GB2312" w:eastAsia="仿宋_GB2312" w:cs="仿宋_GB2312"/>
          <w:color w:val="000000"/>
          <w:sz w:val="32"/>
          <w:szCs w:val="32"/>
        </w:rPr>
        <w:t>食品生产经营者</w:t>
      </w:r>
      <w:r>
        <w:rPr>
          <w:rFonts w:hint="eastAsia" w:ascii="仿宋_GB2312" w:hAnsi="仿宋_GB2312" w:eastAsia="仿宋_GB2312" w:cs="仿宋_GB2312"/>
          <w:color w:val="000000"/>
          <w:spacing w:val="8"/>
          <w:sz w:val="32"/>
          <w:szCs w:val="32"/>
        </w:rPr>
        <w:t xml:space="preserve">申请许可证延续或变更时，按照相关规定不予延续。 </w:t>
      </w:r>
    </w:p>
    <w:p>
      <w:pPr>
        <w:tabs>
          <w:tab w:val="left" w:pos="576"/>
        </w:tabs>
        <w:spacing w:line="560" w:lineRule="exact"/>
        <w:rPr>
          <w:rFonts w:hint="eastAsia" w:ascii="仿宋_GB2312" w:hAnsi="仿宋_GB2312" w:eastAsia="仿宋_GB2312" w:cs="仿宋_GB2312"/>
          <w:color w:val="000000"/>
          <w:kern w:val="0"/>
          <w:sz w:val="32"/>
          <w:szCs w:val="32"/>
        </w:rPr>
      </w:pPr>
      <w:r>
        <w:rPr>
          <w:rFonts w:hint="eastAsia" w:ascii="宋体" w:hAnsi="宋体" w:cs="宋体"/>
          <w:sz w:val="32"/>
          <w:szCs w:val="32"/>
          <w:shd w:val="clear" w:color="auto" w:fill="F1F9FC"/>
        </w:rPr>
        <w:t xml:space="preserve">    </w:t>
      </w:r>
      <w:r>
        <w:rPr>
          <w:rFonts w:hint="eastAsia" w:ascii="黑体" w:hAnsi="黑体" w:eastAsia="黑体" w:cs="黑体"/>
          <w:b/>
          <w:color w:val="000000"/>
          <w:spacing w:val="8"/>
          <w:kern w:val="0"/>
          <w:sz w:val="32"/>
          <w:szCs w:val="32"/>
        </w:rPr>
        <w:t>第二十条</w:t>
      </w:r>
      <w:r>
        <w:rPr>
          <w:rFonts w:hint="eastAsia" w:ascii="黑体" w:hAnsi="仿宋_GB2312" w:eastAsia="黑体" w:cs="仿宋_GB2312"/>
          <w:color w:val="000000"/>
          <w:kern w:val="0"/>
          <w:sz w:val="32"/>
          <w:szCs w:val="32"/>
        </w:rPr>
        <w:t>【异议的处理】</w:t>
      </w:r>
      <w:r>
        <w:rPr>
          <w:rFonts w:hint="eastAsia" w:ascii="仿宋_GB2312" w:hAnsi="仿宋_GB2312" w:eastAsia="仿宋_GB2312" w:cs="仿宋_GB2312"/>
          <w:color w:val="000000"/>
          <w:kern w:val="0"/>
          <w:sz w:val="32"/>
          <w:szCs w:val="32"/>
        </w:rPr>
        <w:t>食品生产经营者对违法记分分值及其行政措施不服的，可自收到违法记分情况告知之日起24小时内向实施记分的所在辖区食品安全监管部门申请复核。</w:t>
      </w:r>
    </w:p>
    <w:p>
      <w:pPr>
        <w:pStyle w:val="6"/>
        <w:spacing w:before="0" w:beforeAutospacing="0" w:after="0" w:afterAutospacing="0" w:line="560" w:lineRule="exact"/>
        <w:ind w:firstLine="640" w:firstLineChars="200"/>
        <w:jc w:val="both"/>
        <w:rPr>
          <w:rFonts w:hint="eastAsia"/>
          <w:sz w:val="32"/>
          <w:szCs w:val="32"/>
        </w:rPr>
      </w:pPr>
      <w:r>
        <w:rPr>
          <w:rFonts w:hint="eastAsia" w:ascii="仿宋_GB2312" w:hAnsi="仿宋_GB2312" w:eastAsia="仿宋_GB2312" w:cs="仿宋_GB2312"/>
          <w:color w:val="000000"/>
          <w:sz w:val="32"/>
          <w:szCs w:val="32"/>
        </w:rPr>
        <w:t>实施记分的食品安全监管部门应在1个工作日内完成复核，并将复核结果告知提出异议的食品生产经营者。经复核需更正记分的，实施记分的食品安全监管部门应及时进行更正。</w:t>
      </w:r>
    </w:p>
    <w:p>
      <w:pPr>
        <w:widowControl/>
        <w:spacing w:line="560" w:lineRule="exact"/>
        <w:ind w:firstLine="674"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b/>
          <w:color w:val="000000"/>
          <w:spacing w:val="8"/>
          <w:kern w:val="0"/>
          <w:sz w:val="32"/>
          <w:szCs w:val="32"/>
        </w:rPr>
        <w:t>第二十一条</w:t>
      </w:r>
      <w:r>
        <w:rPr>
          <w:rFonts w:hint="eastAsia" w:ascii="黑体" w:hAnsi="仿宋_GB2312" w:eastAsia="黑体" w:cs="仿宋_GB2312"/>
          <w:color w:val="000000"/>
          <w:kern w:val="0"/>
          <w:sz w:val="32"/>
          <w:szCs w:val="32"/>
        </w:rPr>
        <w:t>【记分的清除】</w:t>
      </w:r>
      <w:r>
        <w:rPr>
          <w:rFonts w:hint="eastAsia" w:ascii="仿宋_GB2312" w:hAnsi="仿宋_GB2312" w:eastAsia="仿宋_GB2312" w:cs="仿宋_GB2312"/>
          <w:color w:val="000000"/>
          <w:kern w:val="0"/>
          <w:sz w:val="32"/>
          <w:szCs w:val="32"/>
        </w:rPr>
        <w:t>符合以下情形的，一个记分周期内已有的记</w:t>
      </w:r>
      <w:r>
        <w:rPr>
          <w:rFonts w:ascii="仿宋_GB2312" w:hAnsi="仿宋_GB2312" w:eastAsia="仿宋_GB2312" w:cs="仿宋_GB2312"/>
          <w:color w:val="000000"/>
          <w:kern w:val="0"/>
          <w:sz w:val="32"/>
          <w:szCs w:val="32"/>
        </w:rPr>
        <w:t>分予以清除</w:t>
      </w:r>
      <w:r>
        <w:rPr>
          <w:rFonts w:hint="eastAsia" w:ascii="仿宋_GB2312" w:hAnsi="仿宋_GB2312" w:eastAsia="仿宋_GB2312" w:cs="仿宋_GB2312"/>
          <w:color w:val="000000"/>
          <w:kern w:val="0"/>
          <w:sz w:val="32"/>
          <w:szCs w:val="32"/>
        </w:rPr>
        <w:t>：</w:t>
      </w:r>
    </w:p>
    <w:p>
      <w:pPr>
        <w:widowControl/>
        <w:spacing w:line="560" w:lineRule="exact"/>
        <w:ind w:firstLine="504" w:firstLineChars="150"/>
        <w:jc w:val="left"/>
        <w:rPr>
          <w:rFonts w:hint="eastAsia" w:ascii="仿宋_GB2312" w:hAnsi="宋体" w:eastAsia="仿宋_GB2312"/>
          <w:color w:val="000000"/>
          <w:spacing w:val="8"/>
          <w:kern w:val="0"/>
          <w:sz w:val="32"/>
          <w:szCs w:val="32"/>
        </w:rPr>
      </w:pPr>
      <w:r>
        <w:rPr>
          <w:rFonts w:hint="eastAsia" w:ascii="仿宋_GB2312" w:hAnsi="仿宋_GB2312" w:eastAsia="仿宋_GB2312" w:cs="仿宋_GB2312"/>
          <w:color w:val="000000"/>
          <w:spacing w:val="8"/>
          <w:kern w:val="0"/>
          <w:sz w:val="32"/>
          <w:szCs w:val="32"/>
        </w:rPr>
        <w:t>（一）</w:t>
      </w:r>
      <w:r>
        <w:rPr>
          <w:rFonts w:hint="eastAsia" w:ascii="仿宋_GB2312" w:hAnsi="宋体" w:eastAsia="仿宋_GB2312"/>
          <w:color w:val="000000"/>
          <w:spacing w:val="8"/>
          <w:kern w:val="0"/>
          <w:sz w:val="32"/>
          <w:szCs w:val="32"/>
        </w:rPr>
        <w:t xml:space="preserve">本年度届满时累计记分未达到20分的； </w:t>
      </w:r>
    </w:p>
    <w:p>
      <w:pPr>
        <w:spacing w:line="560" w:lineRule="exact"/>
        <w:ind w:firstLine="504" w:firstLineChars="150"/>
        <w:jc w:val="left"/>
        <w:rPr>
          <w:rFonts w:hint="eastAsia" w:ascii="仿宋_GB2312" w:hAnsi="宋体" w:eastAsia="仿宋_GB2312"/>
          <w:color w:val="000000"/>
          <w:spacing w:val="8"/>
          <w:kern w:val="0"/>
          <w:sz w:val="32"/>
          <w:szCs w:val="32"/>
        </w:rPr>
      </w:pPr>
      <w:r>
        <w:rPr>
          <w:rFonts w:hint="eastAsia" w:ascii="仿宋_GB2312" w:hAnsi="宋体" w:eastAsia="仿宋_GB2312"/>
          <w:color w:val="000000"/>
          <w:spacing w:val="8"/>
          <w:kern w:val="0"/>
          <w:sz w:val="32"/>
          <w:szCs w:val="32"/>
        </w:rPr>
        <w:t>（二）本记分年度达到20分以上已按前款规定被查封等处理后的。</w:t>
      </w:r>
    </w:p>
    <w:p>
      <w:pPr>
        <w:spacing w:line="560" w:lineRule="exact"/>
        <w:ind w:firstLine="504" w:firstLineChars="150"/>
        <w:jc w:val="left"/>
        <w:rPr>
          <w:rFonts w:hint="eastAsia" w:ascii="仿宋_GB2312" w:hAnsi="宋体" w:eastAsia="仿宋_GB2312"/>
          <w:color w:val="000000"/>
          <w:spacing w:val="8"/>
          <w:kern w:val="0"/>
          <w:sz w:val="32"/>
          <w:szCs w:val="32"/>
        </w:rPr>
      </w:pPr>
      <w:r>
        <w:rPr>
          <w:rFonts w:hint="eastAsia" w:ascii="仿宋_GB2312" w:hAnsi="宋体" w:eastAsia="仿宋_GB2312"/>
          <w:color w:val="000000"/>
          <w:spacing w:val="8"/>
          <w:kern w:val="0"/>
          <w:sz w:val="32"/>
          <w:szCs w:val="32"/>
        </w:rPr>
        <w:t xml:space="preserve"> </w:t>
      </w:r>
      <w:r>
        <w:rPr>
          <w:rFonts w:hint="eastAsia" w:ascii="黑体" w:hAnsi="黑体" w:eastAsia="黑体" w:cs="黑体"/>
          <w:b/>
          <w:color w:val="000000"/>
          <w:spacing w:val="8"/>
          <w:kern w:val="0"/>
          <w:sz w:val="32"/>
          <w:szCs w:val="32"/>
        </w:rPr>
        <w:t>第二十二条</w:t>
      </w:r>
      <w:r>
        <w:rPr>
          <w:rFonts w:hint="eastAsia" w:ascii="黑体" w:hAnsi="仿宋_GB2312" w:eastAsia="黑体" w:cs="仿宋_GB2312"/>
          <w:color w:val="000000"/>
          <w:kern w:val="0"/>
          <w:sz w:val="32"/>
          <w:szCs w:val="32"/>
        </w:rPr>
        <w:t>【转让情形】</w:t>
      </w:r>
      <w:r>
        <w:rPr>
          <w:rFonts w:hint="eastAsia" w:ascii="仿宋_GB2312" w:hAnsi="宋体" w:eastAsia="仿宋_GB2312"/>
          <w:color w:val="000000"/>
          <w:spacing w:val="8"/>
          <w:kern w:val="0"/>
          <w:sz w:val="32"/>
          <w:szCs w:val="32"/>
        </w:rPr>
        <w:t>使用同一个食品生产经营许可证经营，累计记分的主体不变，包括存在转让的情形。</w:t>
      </w:r>
    </w:p>
    <w:p>
      <w:pPr>
        <w:widowControl/>
        <w:autoSpaceDN w:val="0"/>
        <w:spacing w:line="560" w:lineRule="exact"/>
        <w:ind w:firstLine="674" w:firstLineChars="200"/>
        <w:jc w:val="left"/>
        <w:rPr>
          <w:rFonts w:hint="eastAsia" w:ascii="黑体" w:hAnsi="仿宋_GB2312" w:eastAsia="黑体" w:cs="仿宋_GB2312"/>
          <w:color w:val="000000"/>
          <w:kern w:val="0"/>
          <w:sz w:val="32"/>
          <w:szCs w:val="32"/>
        </w:rPr>
      </w:pPr>
      <w:r>
        <w:rPr>
          <w:rFonts w:hint="eastAsia" w:ascii="黑体" w:hAnsi="黑体" w:eastAsia="黑体" w:cs="黑体"/>
          <w:b/>
          <w:color w:val="000000"/>
          <w:spacing w:val="8"/>
          <w:kern w:val="0"/>
          <w:sz w:val="32"/>
          <w:szCs w:val="32"/>
        </w:rPr>
        <w:t>第二十三条</w:t>
      </w:r>
      <w:r>
        <w:rPr>
          <w:rFonts w:hint="eastAsia" w:ascii="黑体" w:hAnsi="仿宋_GB2312" w:eastAsia="黑体" w:cs="仿宋_GB2312"/>
          <w:color w:val="000000"/>
          <w:kern w:val="0"/>
          <w:sz w:val="32"/>
          <w:szCs w:val="32"/>
        </w:rPr>
        <w:t>【行政监督】</w:t>
      </w:r>
      <w:r>
        <w:rPr>
          <w:rFonts w:hint="eastAsia" w:ascii="仿宋_GB2312" w:hAnsi="仿宋_GB2312" w:eastAsia="仿宋_GB2312" w:cs="仿宋_GB2312"/>
          <w:color w:val="000000"/>
          <w:spacing w:val="8"/>
          <w:kern w:val="0"/>
          <w:sz w:val="32"/>
          <w:szCs w:val="32"/>
        </w:rPr>
        <w:t>食品安全监督管理部门对</w:t>
      </w:r>
      <w:r>
        <w:rPr>
          <w:rFonts w:hint="eastAsia" w:ascii="仿宋_GB2312" w:hAnsi="仿宋_GB2312" w:eastAsia="仿宋_GB2312" w:cs="仿宋_GB2312"/>
          <w:color w:val="000000"/>
          <w:kern w:val="0"/>
          <w:sz w:val="32"/>
          <w:szCs w:val="32"/>
        </w:rPr>
        <w:t>食品生产经营者</w:t>
      </w:r>
      <w:r>
        <w:rPr>
          <w:rFonts w:hint="eastAsia" w:ascii="仿宋_GB2312" w:hAnsi="仿宋_GB2312" w:eastAsia="仿宋_GB2312" w:cs="仿宋_GB2312"/>
          <w:color w:val="000000"/>
          <w:spacing w:val="8"/>
          <w:kern w:val="0"/>
          <w:sz w:val="32"/>
          <w:szCs w:val="32"/>
        </w:rPr>
        <w:t>的记分情况应采取以下措施：</w:t>
      </w:r>
    </w:p>
    <w:p>
      <w:pPr>
        <w:widowControl/>
        <w:numPr>
          <w:ilvl w:val="0"/>
          <w:numId w:val="3"/>
        </w:numPr>
        <w:autoSpaceDN w:val="0"/>
        <w:spacing w:line="560" w:lineRule="exact"/>
        <w:ind w:firstLine="672" w:firstLineChars="200"/>
        <w:jc w:val="left"/>
        <w:rPr>
          <w:rFonts w:hint="eastAsia" w:ascii="仿宋_GB2312" w:hAnsi="宋体" w:eastAsia="仿宋_GB2312"/>
          <w:color w:val="000000"/>
          <w:spacing w:val="8"/>
          <w:kern w:val="0"/>
          <w:sz w:val="32"/>
          <w:szCs w:val="32"/>
        </w:rPr>
      </w:pPr>
      <w:r>
        <w:rPr>
          <w:rFonts w:hint="eastAsia" w:ascii="仿宋_GB2312" w:hAnsi="宋体" w:eastAsia="仿宋_GB2312"/>
          <w:color w:val="000000"/>
          <w:spacing w:val="8"/>
          <w:kern w:val="0"/>
          <w:sz w:val="32"/>
          <w:szCs w:val="32"/>
        </w:rPr>
        <w:t>食品安全监督管理部门对</w:t>
      </w:r>
      <w:r>
        <w:rPr>
          <w:rFonts w:hint="eastAsia" w:ascii="仿宋_GB2312" w:hAnsi="仿宋_GB2312" w:eastAsia="仿宋_GB2312" w:cs="仿宋_GB2312"/>
          <w:color w:val="000000"/>
          <w:kern w:val="0"/>
          <w:sz w:val="32"/>
          <w:szCs w:val="32"/>
        </w:rPr>
        <w:t>食品生产经营</w:t>
      </w:r>
      <w:r>
        <w:rPr>
          <w:rFonts w:hint="eastAsia" w:ascii="仿宋_GB2312" w:hAnsi="宋体" w:eastAsia="仿宋_GB2312"/>
          <w:color w:val="000000"/>
          <w:spacing w:val="8"/>
          <w:kern w:val="0"/>
          <w:sz w:val="32"/>
          <w:szCs w:val="32"/>
        </w:rPr>
        <w:t>者的记分检查频次，依据风险分级管理规定结合各辖区监管部门制定的年度计划实际执行；</w:t>
      </w:r>
    </w:p>
    <w:p>
      <w:pPr>
        <w:spacing w:line="560" w:lineRule="exact"/>
        <w:ind w:firstLine="666"/>
        <w:rPr>
          <w:rFonts w:hint="eastAsia" w:ascii="仿宋_GB2312" w:hAnsi="宋体" w:eastAsia="仿宋_GB2312"/>
          <w:color w:val="000000"/>
          <w:spacing w:val="8"/>
          <w:kern w:val="0"/>
          <w:sz w:val="32"/>
          <w:szCs w:val="32"/>
        </w:rPr>
      </w:pPr>
      <w:r>
        <w:rPr>
          <w:rFonts w:hint="eastAsia" w:ascii="仿宋_GB2312" w:hAnsi="仿宋_GB2312" w:eastAsia="仿宋_GB2312" w:cs="仿宋_GB2312"/>
          <w:color w:val="000000"/>
          <w:kern w:val="0"/>
          <w:sz w:val="32"/>
          <w:szCs w:val="32"/>
        </w:rPr>
        <w:t>（二）食品安全监管部门应做好日常监管和执法的衔接，对于违反《食品安全法》的行为，对食品生产经营者实施累计记分外，按法律规定另行立案处理；</w:t>
      </w:r>
    </w:p>
    <w:p>
      <w:pPr>
        <w:widowControl/>
        <w:autoSpaceDN w:val="0"/>
        <w:spacing w:line="560" w:lineRule="exact"/>
        <w:ind w:firstLine="672" w:firstLineChars="200"/>
        <w:jc w:val="left"/>
        <w:rPr>
          <w:rFonts w:hint="eastAsia" w:ascii="仿宋_GB2312" w:hAnsi="宋体" w:eastAsia="仿宋_GB2312"/>
          <w:color w:val="000000"/>
          <w:spacing w:val="8"/>
          <w:kern w:val="0"/>
          <w:sz w:val="32"/>
          <w:szCs w:val="32"/>
        </w:rPr>
      </w:pPr>
      <w:r>
        <w:rPr>
          <w:rFonts w:hint="eastAsia" w:ascii="仿宋_GB2312" w:hAnsi="宋体" w:eastAsia="仿宋_GB2312"/>
          <w:color w:val="000000"/>
          <w:spacing w:val="8"/>
          <w:kern w:val="0"/>
          <w:sz w:val="32"/>
          <w:szCs w:val="32"/>
        </w:rPr>
        <w:t>（三）</w:t>
      </w:r>
      <w:r>
        <w:rPr>
          <w:rFonts w:hint="eastAsia" w:ascii="仿宋_GB2312" w:hAnsi="仿宋_GB2312" w:eastAsia="仿宋_GB2312" w:cs="仿宋_GB2312"/>
          <w:color w:val="000000"/>
          <w:kern w:val="0"/>
          <w:sz w:val="32"/>
          <w:szCs w:val="32"/>
        </w:rPr>
        <w:t>食品生产经营</w:t>
      </w:r>
      <w:r>
        <w:rPr>
          <w:rFonts w:hint="eastAsia" w:ascii="仿宋_GB2312" w:hAnsi="宋体" w:eastAsia="仿宋_GB2312"/>
          <w:color w:val="000000"/>
          <w:spacing w:val="8"/>
          <w:kern w:val="0"/>
          <w:sz w:val="32"/>
          <w:szCs w:val="32"/>
        </w:rPr>
        <w:t>者的违法行为记分及查处情况记入本市</w:t>
      </w:r>
      <w:r>
        <w:rPr>
          <w:rFonts w:hint="eastAsia" w:ascii="仿宋_GB2312" w:hAnsi="仿宋_GB2312" w:eastAsia="仿宋_GB2312" w:cs="仿宋_GB2312"/>
          <w:color w:val="000000"/>
          <w:kern w:val="0"/>
          <w:sz w:val="32"/>
          <w:szCs w:val="32"/>
        </w:rPr>
        <w:t>食品生产经营者的</w:t>
      </w:r>
      <w:r>
        <w:rPr>
          <w:rFonts w:hint="eastAsia" w:ascii="仿宋_GB2312" w:hAnsi="宋体" w:eastAsia="仿宋_GB2312"/>
          <w:color w:val="000000"/>
          <w:spacing w:val="8"/>
          <w:kern w:val="0"/>
          <w:sz w:val="32"/>
          <w:szCs w:val="32"/>
        </w:rPr>
        <w:t>食品安全信息监管档案；</w:t>
      </w:r>
    </w:p>
    <w:p>
      <w:pPr>
        <w:pStyle w:val="6"/>
        <w:spacing w:before="0" w:beforeAutospacing="0" w:after="0" w:afterAutospacing="0" w:line="560" w:lineRule="exact"/>
        <w:ind w:firstLine="672" w:firstLineChars="200"/>
        <w:jc w:val="both"/>
        <w:rPr>
          <w:rFonts w:hint="eastAsia" w:ascii="仿宋_GB2312" w:eastAsia="仿宋_GB2312" w:cs="Times New Roman"/>
          <w:color w:val="000000"/>
          <w:spacing w:val="8"/>
          <w:sz w:val="32"/>
          <w:szCs w:val="32"/>
        </w:rPr>
      </w:pPr>
      <w:r>
        <w:rPr>
          <w:rFonts w:hint="eastAsia" w:ascii="仿宋_GB2312" w:eastAsia="仿宋_GB2312" w:cs="Times New Roman"/>
          <w:color w:val="000000"/>
          <w:spacing w:val="8"/>
          <w:sz w:val="32"/>
          <w:szCs w:val="32"/>
        </w:rPr>
        <w:t xml:space="preserve">（四）市食品安全监管部门应对其直属执法机构和辖区食品安全监管部门实施记分管理措施情况进行监督抽查。发现工作人员违反本办法规定实施记分造成不良后果的，依规处理。 </w:t>
      </w:r>
    </w:p>
    <w:p>
      <w:pPr>
        <w:widowControl/>
        <w:autoSpaceDN w:val="0"/>
        <w:spacing w:line="560" w:lineRule="exact"/>
        <w:ind w:firstLine="674" w:firstLineChars="200"/>
        <w:jc w:val="left"/>
        <w:rPr>
          <w:rFonts w:hint="eastAsia" w:ascii="仿宋_GB2312" w:hAnsi="宋体" w:eastAsia="仿宋_GB2312"/>
          <w:color w:val="000000"/>
          <w:spacing w:val="8"/>
          <w:kern w:val="0"/>
          <w:sz w:val="32"/>
          <w:szCs w:val="32"/>
        </w:rPr>
      </w:pPr>
      <w:r>
        <w:rPr>
          <w:rFonts w:hint="eastAsia" w:ascii="黑体" w:hAnsi="黑体" w:eastAsia="黑体" w:cs="黑体"/>
          <w:b/>
          <w:color w:val="000000"/>
          <w:spacing w:val="8"/>
          <w:kern w:val="0"/>
          <w:sz w:val="32"/>
          <w:szCs w:val="32"/>
        </w:rPr>
        <w:t>第二十四条</w:t>
      </w:r>
      <w:r>
        <w:rPr>
          <w:rFonts w:hint="eastAsia" w:ascii="黑体" w:hAnsi="仿宋_GB2312" w:eastAsia="黑体" w:cs="仿宋_GB2312"/>
          <w:color w:val="000000"/>
          <w:kern w:val="0"/>
          <w:sz w:val="32"/>
          <w:szCs w:val="32"/>
        </w:rPr>
        <w:t>【记分查询】</w:t>
      </w:r>
      <w:r>
        <w:rPr>
          <w:rFonts w:hint="eastAsia" w:ascii="仿宋_GB2312" w:hAnsi="仿宋_GB2312" w:eastAsia="仿宋_GB2312" w:cs="仿宋_GB2312"/>
          <w:color w:val="000000"/>
          <w:kern w:val="0"/>
          <w:sz w:val="32"/>
          <w:szCs w:val="32"/>
        </w:rPr>
        <w:t>食品安全监管部门应当发布食品安全违法记分行为标准、</w:t>
      </w:r>
      <w:r>
        <w:rPr>
          <w:rFonts w:hint="eastAsia" w:ascii="仿宋_GB2312" w:hAnsi="宋体" w:eastAsia="仿宋_GB2312"/>
          <w:color w:val="000000"/>
          <w:spacing w:val="8"/>
          <w:kern w:val="0"/>
          <w:sz w:val="32"/>
          <w:szCs w:val="32"/>
        </w:rPr>
        <w:t>提供记分查询方式、查处情况</w:t>
      </w:r>
      <w:r>
        <w:rPr>
          <w:rFonts w:hint="eastAsia" w:ascii="仿宋_GB2312" w:hAnsi="仿宋_GB2312" w:eastAsia="仿宋_GB2312" w:cs="仿宋_GB2312"/>
          <w:color w:val="000000"/>
          <w:kern w:val="0"/>
          <w:sz w:val="32"/>
          <w:szCs w:val="32"/>
        </w:rPr>
        <w:t>等有关信息，</w:t>
      </w:r>
      <w:r>
        <w:rPr>
          <w:rFonts w:hint="eastAsia" w:ascii="仿宋_GB2312" w:hAnsi="宋体" w:eastAsia="仿宋_GB2312"/>
          <w:color w:val="000000"/>
          <w:spacing w:val="8"/>
          <w:kern w:val="0"/>
          <w:sz w:val="32"/>
          <w:szCs w:val="32"/>
        </w:rPr>
        <w:t>供</w:t>
      </w:r>
      <w:r>
        <w:rPr>
          <w:rFonts w:hint="eastAsia" w:ascii="仿宋_GB2312" w:hAnsi="仿宋_GB2312" w:eastAsia="仿宋_GB2312" w:cs="仿宋_GB2312"/>
          <w:color w:val="000000"/>
          <w:sz w:val="32"/>
          <w:szCs w:val="32"/>
        </w:rPr>
        <w:t>食品生产经营</w:t>
      </w:r>
      <w:r>
        <w:rPr>
          <w:rFonts w:hint="eastAsia" w:ascii="仿宋_GB2312" w:hAnsi="仿宋_GB2312" w:eastAsia="仿宋_GB2312" w:cs="仿宋_GB2312"/>
          <w:color w:val="000000"/>
          <w:kern w:val="0"/>
          <w:sz w:val="32"/>
          <w:szCs w:val="32"/>
        </w:rPr>
        <w:t>者和消费者</w:t>
      </w:r>
      <w:r>
        <w:rPr>
          <w:rFonts w:hint="eastAsia" w:ascii="仿宋_GB2312" w:hAnsi="宋体" w:eastAsia="仿宋_GB2312"/>
          <w:color w:val="000000"/>
          <w:spacing w:val="8"/>
          <w:kern w:val="0"/>
          <w:sz w:val="32"/>
          <w:szCs w:val="32"/>
        </w:rPr>
        <w:t>查询。</w:t>
      </w:r>
    </w:p>
    <w:p>
      <w:pPr>
        <w:widowControl/>
        <w:autoSpaceDN w:val="0"/>
        <w:spacing w:line="560" w:lineRule="exact"/>
        <w:ind w:firstLine="674"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b/>
          <w:color w:val="000000"/>
          <w:spacing w:val="8"/>
          <w:kern w:val="0"/>
          <w:sz w:val="32"/>
          <w:szCs w:val="32"/>
        </w:rPr>
        <w:t>第二十五条</w:t>
      </w:r>
      <w:r>
        <w:rPr>
          <w:rFonts w:hint="eastAsia" w:ascii="黑体" w:hAnsi="仿宋_GB2312" w:eastAsia="黑体" w:cs="仿宋_GB2312"/>
          <w:color w:val="000000"/>
          <w:kern w:val="0"/>
          <w:sz w:val="32"/>
          <w:szCs w:val="32"/>
        </w:rPr>
        <w:t>【社会监督】</w:t>
      </w:r>
      <w:r>
        <w:rPr>
          <w:rFonts w:hint="eastAsia" w:ascii="仿宋_GB2312" w:hAnsi="仿宋_GB2312" w:eastAsia="仿宋_GB2312" w:cs="仿宋_GB2312"/>
          <w:color w:val="000000"/>
          <w:spacing w:val="8"/>
          <w:kern w:val="0"/>
          <w:sz w:val="32"/>
          <w:szCs w:val="32"/>
        </w:rPr>
        <w:t>任何单位和个人有权对监管人员存在的滥用职权、徇私舞弊等违法违纪行为进行检举、控告。收到检举、控告的机关，应当依据各自职责及时依法查处。</w:t>
      </w:r>
    </w:p>
    <w:p>
      <w:pPr>
        <w:pStyle w:val="6"/>
        <w:spacing w:before="0" w:beforeAutospacing="0" w:after="0" w:afterAutospacing="0" w:line="560" w:lineRule="exact"/>
        <w:ind w:firstLine="636" w:firstLineChars="198"/>
        <w:rPr>
          <w:rFonts w:hint="eastAsia" w:ascii="仿宋_GB2312" w:hAnsi="仿宋_GB2312" w:eastAsia="仿宋_GB2312" w:cs="仿宋_GB2312"/>
          <w:color w:val="000000"/>
          <w:sz w:val="32"/>
          <w:szCs w:val="32"/>
        </w:rPr>
      </w:pPr>
      <w:r>
        <w:rPr>
          <w:rFonts w:hint="eastAsia" w:ascii="黑体" w:hAnsi="黑体" w:eastAsia="黑体" w:cs="黑体"/>
          <w:b/>
          <w:sz w:val="32"/>
          <w:szCs w:val="32"/>
        </w:rPr>
        <w:t xml:space="preserve">第二十六条 </w:t>
      </w:r>
      <w:r>
        <w:rPr>
          <w:rFonts w:hint="eastAsia" w:ascii="黑体" w:hAnsi="仿宋_GB2312" w:eastAsia="黑体" w:cs="仿宋_GB2312"/>
          <w:color w:val="000000"/>
          <w:sz w:val="32"/>
          <w:szCs w:val="32"/>
        </w:rPr>
        <w:t>【解释部门】</w:t>
      </w:r>
      <w:r>
        <w:rPr>
          <w:rFonts w:hint="eastAsia" w:ascii="仿宋_GB2312" w:hAnsi="仿宋_GB2312" w:eastAsia="仿宋_GB2312" w:cs="仿宋_GB2312"/>
          <w:color w:val="000000"/>
          <w:sz w:val="32"/>
          <w:szCs w:val="32"/>
        </w:rPr>
        <w:t>本方法由市食品药品监督管理局负责解释。</w:t>
      </w:r>
    </w:p>
    <w:p>
      <w:pPr>
        <w:pStyle w:val="6"/>
        <w:spacing w:before="0" w:beforeAutospacing="0" w:after="0" w:afterAutospacing="0" w:line="560" w:lineRule="exact"/>
        <w:ind w:firstLine="636" w:firstLineChars="198"/>
        <w:rPr>
          <w:rFonts w:hint="eastAsia" w:ascii="仿宋_GB2312" w:hAnsi="仿宋_GB2312" w:eastAsia="仿宋_GB2312" w:cs="仿宋_GB2312"/>
          <w:color w:val="000000"/>
          <w:spacing w:val="8"/>
          <w:sz w:val="32"/>
          <w:szCs w:val="32"/>
        </w:rPr>
      </w:pPr>
      <w:r>
        <w:rPr>
          <w:rFonts w:hint="eastAsia" w:ascii="黑体" w:hAnsi="黑体" w:eastAsia="黑体" w:cs="黑体"/>
          <w:b/>
          <w:sz w:val="32"/>
          <w:szCs w:val="32"/>
        </w:rPr>
        <w:t xml:space="preserve">第二十七条 </w:t>
      </w:r>
      <w:r>
        <w:rPr>
          <w:rFonts w:hint="eastAsia" w:ascii="仿宋_GB2312" w:hAnsi="仿宋_GB2312" w:eastAsia="仿宋_GB2312" w:cs="仿宋_GB2312"/>
          <w:color w:val="000000"/>
          <w:sz w:val="32"/>
          <w:szCs w:val="32"/>
        </w:rPr>
        <w:t>【</w:t>
      </w:r>
      <w:r>
        <w:rPr>
          <w:rFonts w:hint="eastAsia" w:ascii="黑体" w:hAnsi="仿宋_GB2312" w:eastAsia="黑体" w:cs="仿宋_GB2312"/>
          <w:color w:val="000000"/>
          <w:sz w:val="32"/>
          <w:szCs w:val="32"/>
        </w:rPr>
        <w:t>实施日期】</w:t>
      </w:r>
      <w:r>
        <w:rPr>
          <w:rFonts w:hint="eastAsia" w:ascii="仿宋_GB2312" w:hAnsi="仿宋_GB2312" w:eastAsia="仿宋_GB2312" w:cs="仿宋_GB2312"/>
          <w:color w:val="000000"/>
          <w:sz w:val="32"/>
          <w:szCs w:val="32"/>
        </w:rPr>
        <w:t xml:space="preserve">本方法自2018年12月1日起施行。 </w:t>
      </w:r>
    </w:p>
    <w:p>
      <w:pPr>
        <w:pStyle w:val="6"/>
        <w:spacing w:before="0" w:beforeAutospacing="0" w:after="0" w:afterAutospacing="0" w:line="540" w:lineRule="exact"/>
        <w:ind w:firstLine="953" w:firstLineChars="298"/>
        <w:rPr>
          <w:rFonts w:hint="eastAsia" w:ascii="仿宋_GB2312" w:hAnsi="仿宋_GB2312" w:eastAsia="仿宋_GB2312" w:cs="仿宋_GB2312"/>
          <w:color w:val="000000"/>
          <w:spacing w:val="-12"/>
          <w:sz w:val="32"/>
          <w:szCs w:val="32"/>
        </w:rPr>
      </w:pPr>
      <w:r>
        <w:rPr>
          <w:rFonts w:hint="eastAsia" w:ascii="仿宋_GB2312" w:hAnsi="仿宋_GB2312" w:eastAsia="仿宋_GB2312" w:cs="仿宋_GB2312"/>
          <w:color w:val="000000"/>
          <w:sz w:val="32"/>
          <w:szCs w:val="32"/>
        </w:rPr>
        <w:t>附件1.</w:t>
      </w:r>
      <w:r>
        <w:rPr>
          <w:rFonts w:hint="eastAsia" w:ascii="仿宋_GB2312" w:hAnsi="仿宋_GB2312" w:eastAsia="仿宋_GB2312" w:cs="仿宋_GB2312"/>
          <w:color w:val="000000"/>
          <w:spacing w:val="-12"/>
          <w:sz w:val="32"/>
          <w:szCs w:val="32"/>
        </w:rPr>
        <w:t>深圳市食品生产单位食品安全违法行为记分标准</w:t>
      </w:r>
    </w:p>
    <w:p>
      <w:pPr>
        <w:pStyle w:val="6"/>
        <w:spacing w:before="0" w:beforeAutospacing="0" w:after="0" w:afterAutospacing="0" w:line="540" w:lineRule="exact"/>
        <w:ind w:left="1816" w:leftChars="798" w:hanging="140" w:hangingChars="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20"/>
          <w:sz w:val="32"/>
          <w:szCs w:val="32"/>
        </w:rPr>
        <w:t>2.</w:t>
      </w:r>
      <w:r>
        <w:rPr>
          <w:rFonts w:hint="eastAsia" w:ascii="仿宋_GB2312" w:hAnsi="仿宋_GB2312" w:eastAsia="仿宋_GB2312" w:cs="仿宋_GB2312"/>
          <w:color w:val="000000"/>
          <w:sz w:val="32"/>
          <w:szCs w:val="32"/>
        </w:rPr>
        <w:t>深圳市餐饮食品安全违法记分量化检查标准（普通餐饮）、（微小餐饮）、</w:t>
      </w:r>
      <w:r>
        <w:rPr>
          <w:rFonts w:hint="eastAsia" w:ascii="仿宋_GB2312" w:hAnsi="仿宋_GB2312" w:eastAsia="仿宋_GB2312" w:cs="仿宋_GB2312"/>
          <w:color w:val="000000"/>
          <w:spacing w:val="-20"/>
          <w:sz w:val="32"/>
          <w:szCs w:val="32"/>
        </w:rPr>
        <w:t>（连锁餐饮总部）</w:t>
      </w:r>
      <w:r>
        <w:rPr>
          <w:rFonts w:hint="eastAsia" w:ascii="仿宋_GB2312" w:hAnsi="仿宋_GB2312" w:eastAsia="仿宋_GB2312" w:cs="仿宋_GB2312"/>
          <w:color w:val="000000"/>
          <w:sz w:val="32"/>
          <w:szCs w:val="32"/>
        </w:rPr>
        <w:t xml:space="preserve">  </w:t>
      </w:r>
    </w:p>
    <w:p>
      <w:pPr>
        <w:pStyle w:val="6"/>
        <w:spacing w:before="0" w:beforeAutospacing="0" w:after="0" w:afterAutospacing="0" w:line="540" w:lineRule="exact"/>
        <w:ind w:left="1594"/>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20"/>
          <w:sz w:val="32"/>
          <w:szCs w:val="32"/>
        </w:rPr>
        <w:t>3.</w:t>
      </w:r>
      <w:r>
        <w:rPr>
          <w:rFonts w:hint="eastAsia" w:ascii="仿宋_GB2312" w:hAnsi="仿宋_GB2312" w:eastAsia="仿宋_GB2312" w:cs="仿宋_GB2312"/>
          <w:color w:val="000000"/>
          <w:sz w:val="32"/>
          <w:szCs w:val="32"/>
        </w:rPr>
        <w:t>食品安全违法记分情况告知书</w:t>
      </w:r>
    </w:p>
    <w:p>
      <w:pPr>
        <w:spacing w:line="440" w:lineRule="exact"/>
        <w:sectPr>
          <w:headerReference r:id="rId5" w:type="first"/>
          <w:headerReference r:id="rId3" w:type="default"/>
          <w:footerReference r:id="rId6" w:type="default"/>
          <w:headerReference r:id="rId4" w:type="even"/>
          <w:footerReference r:id="rId7" w:type="even"/>
          <w:pgSz w:w="11906" w:h="16838"/>
          <w:pgMar w:top="1588" w:right="1474" w:bottom="1588" w:left="1474" w:header="851" w:footer="992" w:gutter="0"/>
          <w:pgNumType w:fmt="numberInDash"/>
          <w:cols w:space="720" w:num="1"/>
          <w:titlePg/>
          <w:docGrid w:type="lines" w:linePitch="312" w:charSpace="0"/>
        </w:sectPr>
      </w:pPr>
    </w:p>
    <w:p>
      <w:pPr>
        <w:snapToGrid w:val="0"/>
        <w:spacing w:afterLines="50" w:line="40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附件1-1</w:t>
      </w:r>
    </w:p>
    <w:p>
      <w:pPr>
        <w:snapToGrid w:val="0"/>
        <w:spacing w:afterLines="50" w:line="400" w:lineRule="exact"/>
        <w:ind w:firstLine="3240" w:firstLineChars="900"/>
        <w:rPr>
          <w:rFonts w:ascii="华文中宋" w:hAnsi="华文中宋" w:eastAsia="华文中宋" w:cs="宋体"/>
          <w:kern w:val="0"/>
          <w:sz w:val="36"/>
          <w:szCs w:val="36"/>
        </w:rPr>
      </w:pPr>
      <w:r>
        <w:rPr>
          <w:rFonts w:hint="eastAsia" w:ascii="华文中宋" w:hAnsi="华文中宋" w:eastAsia="华文中宋" w:cs="宋体"/>
          <w:kern w:val="0"/>
          <w:sz w:val="36"/>
          <w:szCs w:val="36"/>
        </w:rPr>
        <w:t>深圳市</w:t>
      </w:r>
      <w:r>
        <w:rPr>
          <w:rFonts w:ascii="华文中宋" w:hAnsi="华文中宋" w:eastAsia="华文中宋" w:cs="宋体"/>
          <w:kern w:val="0"/>
          <w:sz w:val="36"/>
          <w:szCs w:val="36"/>
        </w:rPr>
        <w:t>食品生产单位违法违规行为记分标准</w:t>
      </w:r>
    </w:p>
    <w:p>
      <w:pPr>
        <w:widowControl/>
        <w:spacing w:line="320" w:lineRule="exact"/>
        <w:jc w:val="center"/>
        <w:rPr>
          <w:rFonts w:ascii="仿宋" w:hAnsi="仿宋"/>
          <w:b/>
          <w:color w:val="000000"/>
          <w:kern w:val="0"/>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375"/>
        <w:gridCol w:w="8400"/>
        <w:gridCol w:w="1235"/>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仿宋" w:hAnsi="仿宋"/>
                <w:b/>
                <w:kern w:val="0"/>
                <w:sz w:val="24"/>
              </w:rPr>
            </w:pPr>
            <w:r>
              <w:rPr>
                <w:rFonts w:ascii="仿宋" w:hAnsi="仿宋"/>
                <w:b/>
                <w:kern w:val="0"/>
                <w:sz w:val="24"/>
              </w:rPr>
              <w:t>检查项目</w:t>
            </w: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rFonts w:ascii="仿宋" w:hAnsi="仿宋"/>
                <w:b/>
                <w:kern w:val="0"/>
                <w:sz w:val="24"/>
              </w:rPr>
            </w:pPr>
            <w:r>
              <w:rPr>
                <w:rFonts w:ascii="仿宋" w:hAnsi="仿宋"/>
                <w:b/>
                <w:kern w:val="0"/>
                <w:sz w:val="24"/>
              </w:rPr>
              <w:t>序号</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b/>
                <w:color w:val="000000"/>
                <w:kern w:val="0"/>
                <w:sz w:val="24"/>
              </w:rPr>
            </w:pPr>
            <w:r>
              <w:rPr>
                <w:rFonts w:ascii="仿宋" w:hAnsi="仿宋"/>
                <w:b/>
                <w:color w:val="000000"/>
                <w:kern w:val="0"/>
                <w:sz w:val="24"/>
              </w:rPr>
              <w:t>检查内容</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b/>
                <w:kern w:val="0"/>
                <w:sz w:val="24"/>
              </w:rPr>
            </w:pPr>
            <w:r>
              <w:rPr>
                <w:rFonts w:ascii="仿宋" w:hAnsi="仿宋"/>
                <w:b/>
                <w:kern w:val="0"/>
                <w:sz w:val="24"/>
              </w:rPr>
              <w:t>检查情况</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b/>
                <w:kern w:val="0"/>
                <w:sz w:val="24"/>
              </w:rPr>
            </w:pPr>
            <w:r>
              <w:rPr>
                <w:b/>
                <w:kern w:val="0"/>
                <w:sz w:val="24"/>
              </w:rPr>
              <w:t>记分值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84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20" w:lineRule="exact"/>
              <w:rPr>
                <w:kern w:val="0"/>
                <w:sz w:val="24"/>
              </w:rPr>
            </w:pPr>
            <w:r>
              <w:rPr>
                <w:rFonts w:ascii="仿宋" w:hAnsi="仿宋"/>
                <w:kern w:val="0"/>
                <w:sz w:val="24"/>
              </w:rPr>
              <w:t>1.生产主体资格</w:t>
            </w: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rFonts w:ascii="仿宋" w:hAnsi="仿宋"/>
                <w:kern w:val="0"/>
                <w:sz w:val="24"/>
              </w:rPr>
            </w:pPr>
            <w:r>
              <w:rPr>
                <w:rFonts w:ascii="仿宋" w:hAnsi="仿宋"/>
                <w:kern w:val="0"/>
                <w:sz w:val="24"/>
              </w:rPr>
              <w:t>**1</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color w:val="000000"/>
                <w:kern w:val="0"/>
                <w:sz w:val="24"/>
              </w:rPr>
            </w:pPr>
            <w:r>
              <w:rPr>
                <w:rFonts w:ascii="仿宋" w:hAnsi="仿宋"/>
                <w:color w:val="000000"/>
                <w:kern w:val="0"/>
                <w:sz w:val="24"/>
              </w:rPr>
              <w:t>企业取得《食品生产许可证》并在有效期内。</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20" w:lineRule="exact"/>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rFonts w:ascii="仿宋" w:hAnsi="仿宋"/>
                <w:kern w:val="0"/>
                <w:sz w:val="24"/>
              </w:rPr>
            </w:pPr>
            <w:r>
              <w:rPr>
                <w:rFonts w:ascii="仿宋" w:hAnsi="仿宋"/>
                <w:kern w:val="0"/>
                <w:sz w:val="24"/>
              </w:rPr>
              <w:t>*2</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color w:val="000000"/>
                <w:kern w:val="0"/>
                <w:sz w:val="24"/>
              </w:rPr>
            </w:pPr>
            <w:r>
              <w:rPr>
                <w:rFonts w:ascii="仿宋" w:hAnsi="仿宋"/>
                <w:color w:val="000000"/>
                <w:kern w:val="0"/>
                <w:sz w:val="24"/>
              </w:rPr>
              <w:t>企业名称、实际生产食品的场所、生产食品的范围等与营业执照、《食品生产许可证》一致。</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20" w:lineRule="exact"/>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24"/>
              </w:rPr>
            </w:pPr>
            <w:r>
              <w:rPr>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rFonts w:ascii="仿宋" w:hAnsi="仿宋"/>
                <w:kern w:val="0"/>
                <w:sz w:val="24"/>
              </w:rPr>
            </w:pPr>
            <w:r>
              <w:rPr>
                <w:rFonts w:ascii="仿宋" w:hAnsi="仿宋"/>
                <w:kern w:val="0"/>
                <w:sz w:val="24"/>
              </w:rPr>
              <w:t>*3</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color w:val="000000"/>
                <w:kern w:val="0"/>
                <w:sz w:val="24"/>
              </w:rPr>
            </w:pPr>
            <w:r>
              <w:rPr>
                <w:rFonts w:ascii="仿宋" w:hAnsi="仿宋"/>
                <w:color w:val="000000"/>
                <w:kern w:val="0"/>
                <w:sz w:val="24"/>
              </w:rPr>
              <w:t>企业取得《食品生产许可证》后，食品生产工艺设备布局和工艺流程、主要生产设备设施、食品类别等事项未发生变化。</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20" w:lineRule="exact"/>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kern w:val="0"/>
                <w:sz w:val="24"/>
              </w:rPr>
            </w:pPr>
            <w:r>
              <w:rPr>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842" w:type="dxa"/>
            <w:vMerge w:val="restart"/>
            <w:tcBorders>
              <w:top w:val="single" w:color="auto" w:sz="4" w:space="0"/>
              <w:left w:val="single" w:color="auto" w:sz="4" w:space="0"/>
              <w:right w:val="single" w:color="auto" w:sz="4" w:space="0"/>
            </w:tcBorders>
            <w:vAlign w:val="center"/>
          </w:tcPr>
          <w:p>
            <w:pPr>
              <w:snapToGrid w:val="0"/>
              <w:spacing w:line="320" w:lineRule="exact"/>
              <w:rPr>
                <w:kern w:val="0"/>
                <w:sz w:val="24"/>
              </w:rPr>
            </w:pPr>
            <w:r>
              <w:rPr>
                <w:rFonts w:ascii="仿宋" w:hAnsi="仿宋"/>
                <w:kern w:val="0"/>
                <w:sz w:val="24"/>
              </w:rPr>
              <w:t>2.生产环境条件</w:t>
            </w: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rFonts w:ascii="仿宋" w:hAnsi="仿宋"/>
                <w:kern w:val="0"/>
                <w:sz w:val="24"/>
              </w:rPr>
            </w:pPr>
            <w:r>
              <w:rPr>
                <w:rFonts w:ascii="仿宋" w:hAnsi="仿宋"/>
                <w:kern w:val="0"/>
                <w:sz w:val="24"/>
              </w:rPr>
              <w:t>4</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厂区无扬尘、无积水，厂区、车间卫生整洁。</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1842" w:type="dxa"/>
            <w:vMerge w:val="continue"/>
            <w:tcBorders>
              <w:left w:val="single" w:color="auto" w:sz="4" w:space="0"/>
              <w:right w:val="single" w:color="auto" w:sz="4" w:space="0"/>
            </w:tcBorders>
            <w:vAlign w:val="center"/>
          </w:tcPr>
          <w:p>
            <w:pPr>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*5</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厂区、车间与有毒、有害场所及其他污染源保持规定的距离。</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842" w:type="dxa"/>
            <w:vMerge w:val="continue"/>
            <w:tcBorders>
              <w:left w:val="single" w:color="auto" w:sz="4" w:space="0"/>
              <w:right w:val="single" w:color="auto" w:sz="4" w:space="0"/>
            </w:tcBorders>
            <w:vAlign w:val="center"/>
          </w:tcPr>
          <w:p>
            <w:pPr>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*6</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卫生间应保持清洁，设置洗手设施，未与食品生产、包装或贮存等区域直接连通。</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842" w:type="dxa"/>
            <w:vMerge w:val="continue"/>
            <w:tcBorders>
              <w:left w:val="single" w:color="auto" w:sz="4" w:space="0"/>
              <w:right w:val="single" w:color="auto" w:sz="4" w:space="0"/>
            </w:tcBorders>
            <w:vAlign w:val="center"/>
          </w:tcPr>
          <w:p>
            <w:pPr>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7</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有更衣、洗手、干手、消毒设备设施，满足正常使用。</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1842" w:type="dxa"/>
            <w:vMerge w:val="continue"/>
            <w:tcBorders>
              <w:left w:val="single" w:color="auto" w:sz="4" w:space="0"/>
              <w:right w:val="single" w:color="auto" w:sz="4" w:space="0"/>
            </w:tcBorders>
            <w:vAlign w:val="center"/>
          </w:tcPr>
          <w:p>
            <w:pPr>
              <w:widowControl/>
              <w:jc w:val="lef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8</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通风、防尘、照明、存放垃圾和废弃物等设备、设施正常运行。</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842" w:type="dxa"/>
            <w:vMerge w:val="continue"/>
            <w:tcBorders>
              <w:left w:val="single" w:color="auto" w:sz="4" w:space="0"/>
              <w:right w:val="single" w:color="auto" w:sz="4" w:space="0"/>
            </w:tcBorders>
            <w:vAlign w:val="center"/>
          </w:tcPr>
          <w:p>
            <w:pPr>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9</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车间内使用的洗涤剂、消毒剂等化学品应与原料、半成品、成品、包装材料等分隔放置，并有相应的使用记录。</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842" w:type="dxa"/>
            <w:vMerge w:val="continue"/>
            <w:tcBorders>
              <w:left w:val="single" w:color="auto" w:sz="4" w:space="0"/>
              <w:bottom w:val="single" w:color="auto" w:sz="4" w:space="0"/>
              <w:right w:val="single" w:color="auto" w:sz="4" w:space="0"/>
            </w:tcBorders>
            <w:vAlign w:val="center"/>
          </w:tcPr>
          <w:p>
            <w:pPr>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10</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定期检查防鼠、防蝇、防虫害装置的使用情况并有相应检查记录，生产场所无虫害迹象。</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3.进货查验结果</w:t>
            </w:r>
          </w:p>
          <w:p>
            <w:pPr>
              <w:widowControl/>
              <w:snapToGrid w:val="0"/>
              <w:spacing w:line="320" w:lineRule="exact"/>
              <w:rPr>
                <w:kern w:val="0"/>
                <w:sz w:val="24"/>
              </w:rPr>
            </w:pPr>
            <w:r>
              <w:rPr>
                <w:rFonts w:ascii="仿宋" w:hAnsi="仿宋"/>
                <w:kern w:val="0"/>
                <w:sz w:val="24"/>
              </w:rPr>
              <w:t>注：①检查原辅料仓库；②原辅料品种随机抽查，不足2种的全部检查。</w:t>
            </w: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*11</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查验食品原辅料、食品添加剂、食品相关产品供货者的许可证、产品合格证明文件；供货者无法提供有效合格证明文件的食品原料，有检验记录。</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*12</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进货查验记录及证明材料真实、完整，记录和凭证保存期限不少于产品保质期期满后六个月，没有明确保质期的，保存期限不少于二年。</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13</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建立和保存食品原辅料、食品添加剂、食品相关产品的贮存、保管记录和领用出库记录。</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84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80" w:lineRule="exact"/>
              <w:rPr>
                <w:kern w:val="0"/>
                <w:sz w:val="24"/>
              </w:rPr>
            </w:pPr>
            <w:r>
              <w:rPr>
                <w:rFonts w:ascii="仿宋" w:hAnsi="仿宋"/>
                <w:kern w:val="0"/>
                <w:sz w:val="24"/>
              </w:rPr>
              <w:t>4.生产过程控制</w:t>
            </w:r>
          </w:p>
          <w:p>
            <w:pPr>
              <w:snapToGrid w:val="0"/>
              <w:spacing w:line="380" w:lineRule="exact"/>
              <w:rPr>
                <w:kern w:val="0"/>
                <w:sz w:val="24"/>
              </w:rPr>
            </w:pPr>
            <w:r>
              <w:rPr>
                <w:rFonts w:ascii="仿宋" w:hAnsi="仿宋"/>
                <w:kern w:val="0"/>
                <w:sz w:val="24"/>
              </w:rPr>
              <w:t>注：在成品库至少抽取2批次产品，按生产日期或批号追溯生产过程记录及控制的全部检查，有专供特定人群的产品至少抽查1个产品。</w:t>
            </w: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center"/>
              <w:rPr>
                <w:kern w:val="0"/>
                <w:sz w:val="24"/>
              </w:rPr>
            </w:pPr>
            <w:r>
              <w:rPr>
                <w:rFonts w:ascii="仿宋" w:hAnsi="仿宋"/>
                <w:kern w:val="0"/>
                <w:sz w:val="24"/>
              </w:rPr>
              <w:t>14</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rPr>
                <w:kern w:val="0"/>
                <w:sz w:val="24"/>
              </w:rPr>
            </w:pPr>
            <w:r>
              <w:rPr>
                <w:rFonts w:ascii="仿宋" w:hAnsi="仿宋"/>
                <w:kern w:val="0"/>
                <w:sz w:val="24"/>
              </w:rPr>
              <w:t>有食品安全自查制度文件，定期对食品安全状况进行自查并记录和处置。</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center"/>
              <w:rPr>
                <w:kern w:val="0"/>
                <w:sz w:val="24"/>
              </w:rPr>
            </w:pPr>
            <w:r>
              <w:rPr>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8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center"/>
              <w:rPr>
                <w:kern w:val="0"/>
                <w:sz w:val="24"/>
              </w:rPr>
            </w:pPr>
            <w:r>
              <w:rPr>
                <w:rFonts w:ascii="仿宋" w:hAnsi="仿宋"/>
                <w:kern w:val="0"/>
                <w:sz w:val="24"/>
              </w:rPr>
              <w:t>*15</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rPr>
                <w:kern w:val="0"/>
                <w:sz w:val="24"/>
              </w:rPr>
            </w:pPr>
            <w:r>
              <w:rPr>
                <w:rFonts w:ascii="仿宋" w:hAnsi="仿宋"/>
                <w:kern w:val="0"/>
                <w:sz w:val="24"/>
              </w:rPr>
              <w:t>使用的原辅料、食品添加剂、食品相关产品的品种与索证索票、进货查验记录内容一致。</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center"/>
              <w:rPr>
                <w:kern w:val="0"/>
                <w:sz w:val="24"/>
              </w:rPr>
            </w:pPr>
            <w:r>
              <w:rPr>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center"/>
              <w:rPr>
                <w:kern w:val="0"/>
                <w:sz w:val="24"/>
              </w:rPr>
            </w:pPr>
            <w:r>
              <w:rPr>
                <w:rFonts w:ascii="仿宋" w:hAnsi="仿宋"/>
                <w:kern w:val="0"/>
                <w:sz w:val="24"/>
              </w:rPr>
              <w:t>*16</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rPr>
                <w:kern w:val="0"/>
                <w:sz w:val="24"/>
              </w:rPr>
            </w:pPr>
            <w:r>
              <w:rPr>
                <w:rFonts w:ascii="仿宋" w:hAnsi="仿宋"/>
                <w:kern w:val="0"/>
                <w:sz w:val="24"/>
              </w:rPr>
              <w:t>建立和保存生产投料记录，包括投料种类、品名、生产日期或批号、使用数量等。</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center"/>
              <w:rPr>
                <w:kern w:val="0"/>
                <w:sz w:val="24"/>
              </w:rPr>
            </w:pPr>
            <w:r>
              <w:rPr>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8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center"/>
              <w:rPr>
                <w:kern w:val="0"/>
                <w:sz w:val="24"/>
              </w:rPr>
            </w:pPr>
            <w:r>
              <w:rPr>
                <w:rFonts w:ascii="仿宋" w:hAnsi="仿宋"/>
                <w:kern w:val="0"/>
                <w:sz w:val="24"/>
              </w:rPr>
              <w:t>*17</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rPr>
                <w:kern w:val="0"/>
                <w:sz w:val="24"/>
              </w:rPr>
            </w:pPr>
            <w:r>
              <w:rPr>
                <w:rFonts w:ascii="仿宋" w:hAnsi="仿宋"/>
                <w:kern w:val="0"/>
                <w:sz w:val="24"/>
              </w:rPr>
              <w:t>未发现使用非食品原料、回收食品、食品添加剂以外的化学物质、超过保质期的食品原料和食品添加剂生产食品。</w:t>
            </w:r>
          </w:p>
          <w:p>
            <w:pPr>
              <w:widowControl/>
              <w:snapToGrid w:val="0"/>
              <w:spacing w:line="380" w:lineRule="exact"/>
              <w:rPr>
                <w:kern w:val="0"/>
                <w:sz w:val="24"/>
              </w:rPr>
            </w:pPr>
            <w:r>
              <w:rPr>
                <w:rFonts w:ascii="仿宋" w:hAnsi="仿宋"/>
                <w:kern w:val="0"/>
                <w:sz w:val="24"/>
              </w:rPr>
              <w:t>（该项不适用于食品添加剂生产企业）</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center"/>
              <w:rPr>
                <w:kern w:val="0"/>
                <w:sz w:val="24"/>
              </w:rPr>
            </w:pPr>
            <w:r>
              <w:rPr>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8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center"/>
              <w:rPr>
                <w:kern w:val="0"/>
                <w:sz w:val="24"/>
              </w:rPr>
            </w:pPr>
            <w:r>
              <w:rPr>
                <w:rFonts w:ascii="仿宋" w:hAnsi="仿宋"/>
                <w:kern w:val="0"/>
                <w:sz w:val="24"/>
              </w:rPr>
              <w:t>*18</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rPr>
                <w:kern w:val="0"/>
                <w:sz w:val="24"/>
              </w:rPr>
            </w:pPr>
            <w:r>
              <w:rPr>
                <w:rFonts w:ascii="仿宋" w:hAnsi="仿宋"/>
                <w:kern w:val="0"/>
                <w:sz w:val="24"/>
              </w:rPr>
              <w:t>未发现超范围、超限量使用食品添加剂的情况。</w:t>
            </w:r>
          </w:p>
          <w:p>
            <w:pPr>
              <w:widowControl/>
              <w:snapToGrid w:val="0"/>
              <w:spacing w:line="380" w:lineRule="exact"/>
              <w:rPr>
                <w:kern w:val="0"/>
                <w:sz w:val="24"/>
              </w:rPr>
            </w:pPr>
            <w:r>
              <w:rPr>
                <w:rFonts w:ascii="仿宋" w:hAnsi="仿宋"/>
                <w:kern w:val="0"/>
                <w:sz w:val="24"/>
              </w:rPr>
              <w:t>（该项不适用于单一品种食品添加剂生产企业）</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center"/>
              <w:rPr>
                <w:kern w:val="0"/>
                <w:sz w:val="24"/>
              </w:rPr>
            </w:pPr>
            <w:r>
              <w:rPr>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8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center"/>
              <w:rPr>
                <w:kern w:val="0"/>
                <w:sz w:val="24"/>
              </w:rPr>
            </w:pPr>
            <w:r>
              <w:rPr>
                <w:rFonts w:ascii="仿宋" w:hAnsi="仿宋"/>
                <w:kern w:val="0"/>
                <w:sz w:val="24"/>
              </w:rPr>
              <w:t>19</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rPr>
                <w:kern w:val="0"/>
                <w:sz w:val="24"/>
              </w:rPr>
            </w:pPr>
            <w:r>
              <w:rPr>
                <w:rFonts w:ascii="仿宋" w:hAnsi="仿宋"/>
                <w:kern w:val="0"/>
                <w:sz w:val="24"/>
              </w:rPr>
              <w:t>生产或使用的新食品原料，限定于国务院卫生行政部门公告的新食品原料范围内。（该项不适用于食品添加剂生产企业）</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center"/>
              <w:rPr>
                <w:kern w:val="0"/>
                <w:sz w:val="24"/>
              </w:rPr>
            </w:pPr>
            <w:r>
              <w:rPr>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84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20" w:lineRule="exact"/>
              <w:rPr>
                <w:kern w:val="0"/>
                <w:sz w:val="24"/>
              </w:rPr>
            </w:pPr>
            <w:r>
              <w:rPr>
                <w:rFonts w:ascii="仿宋" w:hAnsi="仿宋"/>
                <w:kern w:val="0"/>
                <w:sz w:val="24"/>
              </w:rPr>
              <w:t>4.生产过程控制</w:t>
            </w:r>
          </w:p>
          <w:p>
            <w:pPr>
              <w:snapToGrid w:val="0"/>
              <w:spacing w:line="320" w:lineRule="exact"/>
              <w:rPr>
                <w:kern w:val="0"/>
                <w:sz w:val="24"/>
              </w:rPr>
            </w:pPr>
            <w:r>
              <w:rPr>
                <w:rFonts w:ascii="仿宋" w:hAnsi="仿宋"/>
                <w:kern w:val="0"/>
                <w:sz w:val="24"/>
              </w:rPr>
              <w:t>注：在成品库至少抽取2批次产品，按生产日期或批号追溯生产过程记录及控制的全部检查，有专供特定人群的产品至少抽查1个产品。</w:t>
            </w: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*20</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未发现使用药品、仅用于保健食品的原料生产食品。</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*21</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生产记录中的生产工艺和参数与企业申请许可时提供的工艺流程一致。</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*22</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建立和保存生产加工过程关键控制点的控制情况记录。</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23</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生产现场未发现人流、物流交叉污染。</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24</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未发现原辅料、半成品与直接入口食品交叉污染。</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25</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有温、湿度等生产环境监测要求的，定期进行监测并记录。</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26</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生产设备、设施定期维护保养并做好记录。</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*27</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未发现标注虚假生产日期或批号的情况。</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28</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工作人员穿戴工作衣帽，生产车间内未发现与生产无关的个人或者其他与生产不相关物品，员工洗手消毒后进入生产车间。</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42" w:type="dxa"/>
            <w:vMerge w:val="restart"/>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spacing w:line="320" w:lineRule="exact"/>
              <w:rPr>
                <w:rFonts w:ascii="仿宋" w:hAnsi="仿宋"/>
                <w:kern w:val="0"/>
                <w:sz w:val="24"/>
              </w:rPr>
            </w:pPr>
            <w:r>
              <w:rPr>
                <w:rFonts w:ascii="仿宋" w:hAnsi="仿宋"/>
                <w:kern w:val="0"/>
                <w:sz w:val="24"/>
              </w:rPr>
              <w:t>产品检验结果</w:t>
            </w:r>
          </w:p>
          <w:p>
            <w:pPr>
              <w:snapToGrid w:val="0"/>
              <w:spacing w:line="320" w:lineRule="exact"/>
              <w:rPr>
                <w:kern w:val="0"/>
                <w:sz w:val="24"/>
              </w:rPr>
            </w:pPr>
            <w:r>
              <w:rPr>
                <w:rFonts w:ascii="仿宋" w:hAnsi="仿宋"/>
                <w:kern w:val="0"/>
                <w:sz w:val="24"/>
              </w:rPr>
              <w:t>注：采取抽查方式</w:t>
            </w: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29</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企业自检的，应具备与所检项目适应的检验室和检验能力，有检验相关设备及化学试剂，检验仪器设备按期检定。</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30</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不能自检的，应当委托有资质的检验机构进行检验。</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*31</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有与生产产品相适应的食品安全标准文本，按照食品安全标准规定进行检验。</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*32</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建立和保存原始检验数据和检验报告记录，检验记录真实、完整。</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33</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按规定时限保存检验留存样品并记录留样情况。</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842" w:type="dxa"/>
            <w:vMerge w:val="restart"/>
            <w:tcBorders>
              <w:top w:val="single" w:color="auto" w:sz="4" w:space="0"/>
              <w:left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6.贮存及交付控制</w:t>
            </w:r>
          </w:p>
          <w:p>
            <w:pPr>
              <w:snapToGrid w:val="0"/>
              <w:spacing w:line="320" w:lineRule="exact"/>
              <w:rPr>
                <w:kern w:val="0"/>
                <w:sz w:val="24"/>
              </w:rPr>
            </w:pPr>
            <w:r>
              <w:rPr>
                <w:rFonts w:ascii="仿宋" w:hAnsi="仿宋"/>
                <w:kern w:val="0"/>
                <w:sz w:val="24"/>
              </w:rPr>
              <w:t>注：采取抽查方式，有冷链要求的产品必须检查冷链情况。</w:t>
            </w: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*34</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原辅料的贮存有专人管理，贮存条件符合要求。</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842" w:type="dxa"/>
            <w:vMerge w:val="continue"/>
            <w:tcBorders>
              <w:left w:val="single" w:color="auto" w:sz="4" w:space="0"/>
              <w:right w:val="single" w:color="auto" w:sz="4" w:space="0"/>
            </w:tcBorders>
            <w:vAlign w:val="center"/>
          </w:tcPr>
          <w:p>
            <w:pPr>
              <w:widowControl/>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*35</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食品添加剂应当专门贮存，明显标示，专人管理。</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842" w:type="dxa"/>
            <w:vMerge w:val="continue"/>
            <w:tcBorders>
              <w:left w:val="single" w:color="auto" w:sz="4" w:space="0"/>
              <w:right w:val="single" w:color="auto" w:sz="4" w:space="0"/>
            </w:tcBorders>
            <w:vAlign w:val="center"/>
          </w:tcPr>
          <w:p>
            <w:pPr>
              <w:widowControl/>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36</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不合格品应在划定区域存放。</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842" w:type="dxa"/>
            <w:vMerge w:val="continue"/>
            <w:tcBorders>
              <w:left w:val="single" w:color="auto" w:sz="4" w:space="0"/>
              <w:right w:val="single" w:color="auto" w:sz="4" w:space="0"/>
            </w:tcBorders>
            <w:vAlign w:val="center"/>
          </w:tcPr>
          <w:p>
            <w:pPr>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37</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根据产品特点建立和执行相适应的贮存、运输及交付控制制度，并做好记录。</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842" w:type="dxa"/>
            <w:vMerge w:val="continue"/>
            <w:tcBorders>
              <w:left w:val="single" w:color="auto" w:sz="4" w:space="0"/>
              <w:right w:val="single" w:color="auto" w:sz="4" w:space="0"/>
            </w:tcBorders>
            <w:vAlign w:val="center"/>
          </w:tcPr>
          <w:p>
            <w:pPr>
              <w:widowControl/>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rFonts w:ascii="仿宋" w:hAnsi="仿宋"/>
                <w:kern w:val="0"/>
                <w:sz w:val="24"/>
              </w:rPr>
            </w:pPr>
            <w:r>
              <w:rPr>
                <w:rFonts w:ascii="仿宋" w:hAnsi="仿宋"/>
                <w:kern w:val="0"/>
                <w:sz w:val="24"/>
              </w:rPr>
              <w:t>38</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仓库温湿度应符合要求。</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842" w:type="dxa"/>
            <w:vMerge w:val="continue"/>
            <w:tcBorders>
              <w:left w:val="single" w:color="auto" w:sz="4" w:space="0"/>
              <w:right w:val="single" w:color="auto" w:sz="4" w:space="0"/>
            </w:tcBorders>
            <w:vAlign w:val="center"/>
          </w:tcPr>
          <w:p>
            <w:pPr>
              <w:widowControl/>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39</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有销售台账，台账记录真实、完整。</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842" w:type="dxa"/>
            <w:vMerge w:val="continue"/>
            <w:tcBorders>
              <w:left w:val="single" w:color="auto" w:sz="4" w:space="0"/>
              <w:bottom w:val="single" w:color="auto" w:sz="4" w:space="0"/>
              <w:right w:val="single" w:color="auto" w:sz="4" w:space="0"/>
            </w:tcBorders>
            <w:vAlign w:val="center"/>
          </w:tcPr>
          <w:p>
            <w:pPr>
              <w:widowControl/>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40</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销售台账如实记录食品的名称、规格、数量、生产日期或者生产批号、检验合格证明、销售日期以及购货者名称、地址、联系方式等内容。</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842"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7.产品标准执行情况</w:t>
            </w: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rFonts w:ascii="仿宋" w:hAnsi="仿宋"/>
                <w:kern w:val="0"/>
                <w:sz w:val="24"/>
              </w:rPr>
            </w:pPr>
            <w:r>
              <w:rPr>
                <w:rFonts w:ascii="仿宋" w:hAnsi="仿宋"/>
                <w:kern w:val="0"/>
                <w:sz w:val="24"/>
              </w:rPr>
              <w:t>41</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企业应执行现行有效的食品安全国家标准。若执行企业标准的，企业标准应按规定备案，且在有效期内。</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8.不合格品管理和食品召回</w:t>
            </w:r>
          </w:p>
          <w:p>
            <w:pPr>
              <w:snapToGrid w:val="0"/>
              <w:spacing w:line="320" w:lineRule="exact"/>
              <w:rPr>
                <w:kern w:val="0"/>
                <w:sz w:val="24"/>
              </w:rPr>
            </w:pPr>
            <w:r>
              <w:rPr>
                <w:rFonts w:ascii="仿宋" w:hAnsi="仿宋"/>
                <w:kern w:val="0"/>
                <w:sz w:val="24"/>
              </w:rPr>
              <w:t>注：采取抽查方式</w:t>
            </w: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42</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建立和保存不合格品的处置记录，不合格品的批次、数量应与记录一致。</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*43</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实施不安全食品的召回，有召回计划、公告等相应记录。</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*44</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召回食品有处置记录。</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45</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未发现使用召回食品重新加工食品情况（对因标签存在瑕疵实施召回的除外）。</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84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20" w:lineRule="exact"/>
              <w:rPr>
                <w:kern w:val="0"/>
                <w:sz w:val="24"/>
              </w:rPr>
            </w:pPr>
            <w:r>
              <w:rPr>
                <w:rFonts w:ascii="仿宋" w:hAnsi="仿宋"/>
                <w:kern w:val="0"/>
                <w:sz w:val="24"/>
              </w:rPr>
              <w:t>9.从业人员管理</w:t>
            </w: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46</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有食品安全管理人员、检验人员、负责人。</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47</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有食品安全管理人员、检验人员、负责人培训和考核记录。</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*48</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未发现聘用禁止从事食品安全管理的人员。</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49</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企业负责人在企业内部制度制定、过程控制、安全培训、安全检查以及食品安全事件或事故调查等环节履行了岗位职责并有记录。</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*50</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建立从业人员健康管理制度，直接接触食品人员有健康证明，符合相关规定。</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51</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有从业人员食品安全知识培训制度，并有相关培训记录。</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10.食品安全事故处置</w:t>
            </w: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52</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有定期排查食品安全风险隐患的记录。</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53</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有按照食品安全应急预案定期演练，落实食品安全防范措施的记录。</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*54</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曾发生食品安全事故的，有处置食品安全事故记录。</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11.食品添加剂生产者管理</w:t>
            </w: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*55</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原料和生产工艺符合产品标准规定。</w:t>
            </w:r>
          </w:p>
          <w:p>
            <w:pPr>
              <w:widowControl/>
              <w:snapToGrid w:val="0"/>
              <w:spacing w:line="320" w:lineRule="exact"/>
              <w:rPr>
                <w:kern w:val="0"/>
                <w:sz w:val="24"/>
              </w:rPr>
            </w:pPr>
            <w:r>
              <w:rPr>
                <w:rFonts w:ascii="仿宋" w:hAnsi="仿宋"/>
                <w:kern w:val="0"/>
                <w:sz w:val="24"/>
              </w:rPr>
              <w:t>（该项仅适用于食品添加剂生产企业）</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56</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复配食品添加剂配方发生变化的，按规定报告。</w:t>
            </w:r>
          </w:p>
          <w:p>
            <w:pPr>
              <w:widowControl/>
              <w:snapToGrid w:val="0"/>
              <w:spacing w:line="320" w:lineRule="exact"/>
              <w:rPr>
                <w:kern w:val="0"/>
                <w:sz w:val="24"/>
              </w:rPr>
            </w:pPr>
            <w:r>
              <w:rPr>
                <w:rFonts w:ascii="仿宋" w:hAnsi="仿宋"/>
                <w:kern w:val="0"/>
                <w:sz w:val="24"/>
              </w:rPr>
              <w:t>（该项仅适用于食品添加剂生产企业）</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rFonts w:ascii="仿宋" w:hAnsi="仿宋"/>
                <w:kern w:val="0"/>
                <w:sz w:val="24"/>
              </w:rPr>
              <w:t>57</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食品添加剂产品标签载明“食品添加剂”，并标明贮存条件、生产者名称和地址、食品添加剂的使用范围、用量和使用方法。</w:t>
            </w:r>
          </w:p>
          <w:p>
            <w:pPr>
              <w:widowControl/>
              <w:snapToGrid w:val="0"/>
              <w:spacing w:line="320" w:lineRule="exact"/>
              <w:rPr>
                <w:kern w:val="0"/>
                <w:sz w:val="24"/>
              </w:rPr>
            </w:pPr>
            <w:r>
              <w:rPr>
                <w:rFonts w:ascii="仿宋" w:hAnsi="仿宋"/>
                <w:kern w:val="0"/>
                <w:sz w:val="24"/>
              </w:rPr>
              <w:t>（该项仅适用于食品添加剂生产企业）</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12.食品委托加工</w:t>
            </w: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rFonts w:ascii="仿宋" w:hAnsi="仿宋"/>
                <w:kern w:val="0"/>
                <w:sz w:val="24"/>
              </w:rPr>
            </w:pPr>
            <w:r>
              <w:rPr>
                <w:rFonts w:ascii="仿宋" w:hAnsi="仿宋"/>
                <w:kern w:val="0"/>
                <w:sz w:val="24"/>
              </w:rPr>
              <w:t>58</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受委托方查验委托方的营业执照等相关证明文件，并按照食品安全标准组织生产；应在获得生产许可的产品品种范围内与委托方签订委托加工协议。</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20" w:lineRule="exact"/>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lef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rFonts w:ascii="仿宋" w:hAnsi="仿宋"/>
                <w:kern w:val="0"/>
                <w:sz w:val="24"/>
              </w:rPr>
            </w:pPr>
            <w:r>
              <w:rPr>
                <w:rFonts w:ascii="仿宋" w:hAnsi="仿宋"/>
                <w:kern w:val="0"/>
                <w:sz w:val="24"/>
              </w:rPr>
              <w:t>*59</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kern w:val="0"/>
                <w:sz w:val="24"/>
              </w:rPr>
            </w:pPr>
            <w:r>
              <w:rPr>
                <w:rFonts w:ascii="仿宋" w:hAnsi="仿宋"/>
                <w:kern w:val="0"/>
                <w:sz w:val="24"/>
              </w:rPr>
              <w:t>委托生产的食品，其包装上应当标注委托方的名称、地址和受托方的名称、地址、生产许可证编号等内容。</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20" w:lineRule="exact"/>
            </w:pPr>
            <w:r>
              <w:rPr>
                <w:rFonts w:ascii="仿宋" w:hAnsi="仿宋"/>
                <w:kern w:val="0"/>
                <w:sz w:val="24"/>
              </w:rPr>
              <w:t>□是□否</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842" w:type="dxa"/>
            <w:vMerge w:val="restart"/>
            <w:tcBorders>
              <w:top w:val="single" w:color="auto" w:sz="4" w:space="0"/>
              <w:left w:val="single" w:color="auto" w:sz="4" w:space="0"/>
              <w:right w:val="single" w:color="auto" w:sz="4" w:space="0"/>
            </w:tcBorders>
            <w:vAlign w:val="center"/>
          </w:tcPr>
          <w:p>
            <w:pPr>
              <w:widowControl/>
              <w:snapToGrid w:val="0"/>
              <w:spacing w:line="320" w:lineRule="exact"/>
              <w:jc w:val="left"/>
              <w:rPr>
                <w:kern w:val="0"/>
                <w:sz w:val="24"/>
              </w:rPr>
            </w:pPr>
            <w:r>
              <w:rPr>
                <w:kern w:val="0"/>
                <w:sz w:val="24"/>
              </w:rPr>
              <w:t>13.关键项</w:t>
            </w: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rFonts w:ascii="仿宋" w:hAnsi="仿宋"/>
                <w:kern w:val="0"/>
                <w:sz w:val="24"/>
              </w:rPr>
            </w:pPr>
            <w:r>
              <w:rPr>
                <w:rFonts w:ascii="仿宋" w:hAnsi="仿宋"/>
                <w:kern w:val="0"/>
                <w:sz w:val="24"/>
              </w:rPr>
              <w:t>**60</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rFonts w:ascii="仿宋" w:hAnsi="仿宋"/>
                <w:kern w:val="0"/>
                <w:sz w:val="24"/>
              </w:rPr>
            </w:pPr>
            <w:r>
              <w:rPr>
                <w:rFonts w:ascii="宋体" w:hAnsi="宋体" w:cs="宋体"/>
                <w:color w:val="000000"/>
                <w:kern w:val="0"/>
                <w:sz w:val="24"/>
              </w:rPr>
              <w:t>造成重大食品安全事故的</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kern w:val="0"/>
                <w:sz w:val="24"/>
              </w:rPr>
            </w:pPr>
            <w:r>
              <w:rPr>
                <w:rFonts w:ascii="仿宋" w:hAnsi="仿宋"/>
                <w:kern w:val="0"/>
                <w:sz w:val="24"/>
              </w:rPr>
              <w:t>—</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842" w:type="dxa"/>
            <w:vMerge w:val="continue"/>
            <w:tcBorders>
              <w:left w:val="single" w:color="auto" w:sz="4" w:space="0"/>
              <w:bottom w:val="single" w:color="auto" w:sz="4" w:space="0"/>
              <w:right w:val="single" w:color="auto" w:sz="4" w:space="0"/>
            </w:tcBorders>
            <w:vAlign w:val="center"/>
          </w:tcPr>
          <w:p>
            <w:pPr>
              <w:widowControl/>
              <w:snapToGrid w:val="0"/>
              <w:spacing w:line="320" w:lineRule="exact"/>
              <w:jc w:val="left"/>
              <w:rPr>
                <w:kern w:val="0"/>
                <w:sz w:val="24"/>
              </w:rPr>
            </w:pP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rFonts w:ascii="仿宋" w:hAnsi="仿宋"/>
                <w:kern w:val="0"/>
                <w:sz w:val="24"/>
              </w:rPr>
            </w:pPr>
            <w:r>
              <w:rPr>
                <w:rFonts w:ascii="仿宋" w:hAnsi="仿宋"/>
                <w:kern w:val="0"/>
                <w:sz w:val="24"/>
              </w:rPr>
              <w:t>**61</w:t>
            </w:r>
          </w:p>
        </w:tc>
        <w:tc>
          <w:tcPr>
            <w:tcW w:w="84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rFonts w:ascii="仿宋" w:hAnsi="仿宋"/>
                <w:kern w:val="0"/>
                <w:sz w:val="24"/>
              </w:rPr>
            </w:pPr>
            <w:r>
              <w:rPr>
                <w:rFonts w:ascii="宋体" w:hAnsi="宋体" w:cs="宋体"/>
                <w:color w:val="000000"/>
                <w:kern w:val="0"/>
                <w:sz w:val="24"/>
              </w:rPr>
              <w:t>造成重大食品安全舆情事件的</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kern w:val="0"/>
                <w:sz w:val="24"/>
              </w:rPr>
            </w:pPr>
            <w:r>
              <w:rPr>
                <w:rFonts w:ascii="仿宋" w:hAnsi="仿宋"/>
                <w:kern w:val="0"/>
                <w:sz w:val="24"/>
              </w:rPr>
              <w:t>—</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3217"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总得分</w:t>
            </w:r>
          </w:p>
        </w:tc>
        <w:tc>
          <w:tcPr>
            <w:tcW w:w="1077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3217"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r>
              <w:rPr>
                <w:kern w:val="0"/>
                <w:sz w:val="24"/>
              </w:rPr>
              <w:t>备注</w:t>
            </w:r>
          </w:p>
        </w:tc>
        <w:tc>
          <w:tcPr>
            <w:tcW w:w="1077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kern w:val="0"/>
                <w:sz w:val="24"/>
              </w:rPr>
            </w:pPr>
          </w:p>
        </w:tc>
      </w:tr>
    </w:tbl>
    <w:p>
      <w:pPr>
        <w:snapToGrid w:val="0"/>
        <w:spacing w:beforeLines="50" w:line="320" w:lineRule="exact"/>
        <w:rPr>
          <w:sz w:val="24"/>
        </w:rPr>
      </w:pPr>
      <w:r>
        <w:rPr>
          <w:rFonts w:ascii="仿宋" w:hAnsi="仿宋"/>
          <w:sz w:val="24"/>
        </w:rPr>
        <w:t>说明：1. 上表中打</w:t>
      </w:r>
      <w:r>
        <w:rPr>
          <w:rFonts w:ascii="仿宋" w:hAnsi="仿宋"/>
          <w:kern w:val="0"/>
          <w:sz w:val="24"/>
        </w:rPr>
        <w:t>**的为关键项，打</w:t>
      </w:r>
      <w:r>
        <w:rPr>
          <w:rFonts w:ascii="仿宋" w:hAnsi="仿宋"/>
          <w:sz w:val="24"/>
        </w:rPr>
        <w:t>*号的为重点项，其他为一般项。</w:t>
      </w:r>
    </w:p>
    <w:p>
      <w:pPr>
        <w:snapToGrid w:val="0"/>
        <w:spacing w:line="320" w:lineRule="exact"/>
        <w:ind w:firstLine="720" w:firstLineChars="300"/>
        <w:rPr>
          <w:rFonts w:ascii="仿宋" w:hAnsi="仿宋"/>
          <w:sz w:val="24"/>
        </w:rPr>
      </w:pPr>
      <w:r>
        <w:rPr>
          <w:rFonts w:ascii="仿宋" w:hAnsi="仿宋"/>
          <w:sz w:val="24"/>
        </w:rPr>
        <w:t>2. 1-59项根据《日常监督检查要点表》确定，检查情况为“否”的，按照记分值进行记分。</w:t>
      </w:r>
    </w:p>
    <w:p>
      <w:pPr>
        <w:snapToGrid w:val="0"/>
        <w:spacing w:line="320" w:lineRule="exact"/>
        <w:ind w:firstLine="720" w:firstLineChars="300"/>
        <w:rPr>
          <w:rFonts w:ascii="仿宋" w:hAnsi="仿宋"/>
          <w:sz w:val="24"/>
        </w:rPr>
      </w:pPr>
      <w:r>
        <w:rPr>
          <w:rFonts w:ascii="仿宋" w:hAnsi="仿宋"/>
          <w:sz w:val="24"/>
        </w:rPr>
        <w:t>3. 食品生产单位在一个记分周期内记分达到10分的，记分等级由A级降为B级；</w:t>
      </w:r>
    </w:p>
    <w:p>
      <w:pPr>
        <w:snapToGrid w:val="0"/>
        <w:spacing w:line="320" w:lineRule="exact"/>
        <w:ind w:firstLine="1080" w:firstLineChars="450"/>
        <w:rPr>
          <w:rFonts w:ascii="仿宋" w:hAnsi="仿宋"/>
          <w:sz w:val="24"/>
        </w:rPr>
      </w:pPr>
      <w:r>
        <w:rPr>
          <w:rFonts w:ascii="仿宋" w:hAnsi="仿宋"/>
          <w:sz w:val="24"/>
        </w:rPr>
        <w:t>食品安全监管部门将企业纳入重点监管范围，加强食品安全风险防控。</w:t>
      </w:r>
    </w:p>
    <w:p>
      <w:pPr>
        <w:snapToGrid w:val="0"/>
        <w:spacing w:line="320" w:lineRule="exact"/>
        <w:ind w:firstLine="720" w:firstLineChars="300"/>
        <w:rPr>
          <w:rFonts w:ascii="仿宋" w:hAnsi="仿宋"/>
          <w:sz w:val="24"/>
        </w:rPr>
      </w:pPr>
      <w:r>
        <w:rPr>
          <w:rFonts w:ascii="仿宋" w:hAnsi="仿宋"/>
          <w:sz w:val="24"/>
        </w:rPr>
        <w:t>4. 食品生产单位在一个记分周期内记分达到20分的，记分等级降为C级；</w:t>
      </w:r>
    </w:p>
    <w:p>
      <w:pPr>
        <w:snapToGrid w:val="0"/>
        <w:spacing w:line="320" w:lineRule="exact"/>
        <w:ind w:firstLine="1080" w:firstLineChars="450"/>
        <w:rPr>
          <w:rFonts w:ascii="仿宋" w:hAnsi="仿宋"/>
          <w:sz w:val="24"/>
        </w:rPr>
      </w:pPr>
      <w:r>
        <w:rPr>
          <w:rFonts w:ascii="仿宋" w:hAnsi="仿宋"/>
          <w:sz w:val="24"/>
        </w:rPr>
        <w:t>20≤记分</w:t>
      </w:r>
      <w:r>
        <w:rPr>
          <w:rFonts w:ascii="宋体" w:hAnsi="宋体"/>
          <w:sz w:val="24"/>
        </w:rPr>
        <w:t>﹤</w:t>
      </w:r>
      <w:r>
        <w:rPr>
          <w:rFonts w:ascii="仿宋" w:hAnsi="仿宋"/>
          <w:sz w:val="24"/>
        </w:rPr>
        <w:t>30分，食品安全监管部门对企业生产场所查封3天；</w:t>
      </w:r>
    </w:p>
    <w:p>
      <w:pPr>
        <w:snapToGrid w:val="0"/>
        <w:spacing w:line="320" w:lineRule="exact"/>
        <w:ind w:firstLine="1080" w:firstLineChars="450"/>
        <w:rPr>
          <w:rFonts w:ascii="仿宋" w:hAnsi="仿宋"/>
          <w:sz w:val="24"/>
        </w:rPr>
      </w:pPr>
      <w:r>
        <w:rPr>
          <w:rFonts w:ascii="仿宋" w:hAnsi="仿宋"/>
          <w:sz w:val="24"/>
        </w:rPr>
        <w:t>记分≥30分，食品安全监管部门对企业生产场所查封7天。</w:t>
      </w:r>
    </w:p>
    <w:p>
      <w:pPr>
        <w:spacing w:line="440" w:lineRule="exact"/>
        <w:sectPr>
          <w:pgSz w:w="16838" w:h="11906" w:orient="landscape"/>
          <w:pgMar w:top="1800" w:right="1440" w:bottom="1800" w:left="1440" w:header="851" w:footer="992" w:gutter="0"/>
          <w:pgNumType w:fmt="numberInDash"/>
          <w:cols w:space="720" w:num="1"/>
          <w:docGrid w:type="lines" w:linePitch="312" w:charSpace="0"/>
        </w:sectPr>
      </w:pPr>
    </w:p>
    <w:p>
      <w:pPr>
        <w:rPr>
          <w:rFonts w:hint="eastAsia" w:ascii="仿宋" w:hAnsi="仿宋" w:eastAsia="仿宋" w:cs="宋体"/>
          <w:bCs/>
          <w:color w:val="000000"/>
          <w:sz w:val="32"/>
          <w:szCs w:val="32"/>
        </w:rPr>
      </w:pPr>
      <w:r>
        <w:rPr>
          <w:rFonts w:hint="eastAsia" w:ascii="仿宋" w:hAnsi="仿宋" w:eastAsia="仿宋" w:cs="宋体"/>
          <w:bCs/>
          <w:color w:val="000000"/>
          <w:sz w:val="32"/>
          <w:szCs w:val="32"/>
        </w:rPr>
        <w:t>附件1-2-1</w:t>
      </w:r>
    </w:p>
    <w:p>
      <w:pPr>
        <w:spacing w:line="360" w:lineRule="auto"/>
        <w:ind w:right="-540" w:rightChars="-257" w:firstLine="2721" w:firstLineChars="800"/>
        <w:rPr>
          <w:rFonts w:hint="eastAsia" w:ascii="华文中宋" w:hAnsi="华文中宋" w:eastAsia="华文中宋"/>
          <w:b/>
          <w:color w:val="000000"/>
          <w:spacing w:val="-10"/>
          <w:sz w:val="36"/>
          <w:szCs w:val="36"/>
        </w:rPr>
      </w:pPr>
      <w:r>
        <w:rPr>
          <w:rFonts w:hint="eastAsia" w:ascii="华文中宋" w:hAnsi="华文中宋" w:eastAsia="华文中宋"/>
          <w:b/>
          <w:color w:val="000000"/>
          <w:spacing w:val="-10"/>
          <w:sz w:val="36"/>
          <w:szCs w:val="36"/>
        </w:rPr>
        <w:t>深圳市餐饮食品安全违法记分量化检查标准（普通餐饮单位）</w:t>
      </w:r>
    </w:p>
    <w:p>
      <w:pPr>
        <w:spacing w:line="360" w:lineRule="auto"/>
        <w:ind w:right="-540" w:rightChars="-257" w:firstLine="3240" w:firstLineChars="1350"/>
        <w:rPr>
          <w:rFonts w:hint="eastAsia" w:ascii="宋体" w:hAnsi="宋体" w:cs="仿宋_GB2312"/>
          <w:color w:val="000000"/>
          <w:kern w:val="0"/>
          <w:sz w:val="24"/>
        </w:rPr>
      </w:pPr>
      <w:r>
        <w:rPr>
          <w:rFonts w:hint="eastAsia" w:ascii="宋体" w:hAnsi="宋体" w:cs="仿宋_GB2312"/>
          <w:color w:val="000000"/>
          <w:kern w:val="0"/>
          <w:sz w:val="24"/>
        </w:rPr>
        <w:t>（适用于除微小餐饮和连锁餐饮总部以外的餐饮服务单位，含集体食堂）</w:t>
      </w:r>
    </w:p>
    <w:p>
      <w:pPr>
        <w:spacing w:line="360" w:lineRule="exact"/>
        <w:ind w:left="-569" w:leftChars="-271" w:right="-540" w:rightChars="-257" w:firstLine="33" w:firstLineChars="14"/>
        <w:rPr>
          <w:rFonts w:hint="eastAsia" w:ascii="宋体" w:hAnsi="宋体"/>
          <w:color w:val="000000"/>
          <w:sz w:val="24"/>
        </w:rPr>
      </w:pPr>
    </w:p>
    <w:tbl>
      <w:tblPr>
        <w:tblStyle w:val="7"/>
        <w:tblpPr w:leftFromText="180" w:rightFromText="180" w:vertAnchor="text" w:horzAnchor="page" w:tblpX="1578" w:tblpY="1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0174"/>
        <w:gridCol w:w="764"/>
        <w:gridCol w:w="1138"/>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blHeader/>
        </w:trPr>
        <w:tc>
          <w:tcPr>
            <w:tcW w:w="8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
                <w:color w:val="000000"/>
                <w:sz w:val="24"/>
              </w:rPr>
            </w:pPr>
            <w:r>
              <w:rPr>
                <w:rFonts w:hint="eastAsia" w:ascii="宋体" w:hAnsi="宋体" w:cs="宋体"/>
                <w:b/>
                <w:color w:val="000000"/>
                <w:sz w:val="24"/>
              </w:rPr>
              <w:t>检查项目</w:t>
            </w:r>
          </w:p>
        </w:tc>
        <w:tc>
          <w:tcPr>
            <w:tcW w:w="1017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896" w:firstLineChars="1202"/>
              <w:rPr>
                <w:rFonts w:ascii="宋体" w:hAnsi="宋体" w:cs="宋体"/>
                <w:b/>
                <w:color w:val="000000"/>
                <w:sz w:val="24"/>
              </w:rPr>
            </w:pPr>
            <w:r>
              <w:rPr>
                <w:rFonts w:hint="eastAsia" w:ascii="宋体" w:hAnsi="宋体" w:cs="宋体"/>
                <w:b/>
                <w:color w:val="000000"/>
                <w:sz w:val="24"/>
              </w:rPr>
              <w:t>检 查 内 容</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仿宋_GB2312"/>
                <w:b/>
                <w:bCs/>
                <w:color w:val="000000"/>
                <w:kern w:val="0"/>
                <w:sz w:val="24"/>
              </w:rPr>
            </w:pPr>
            <w:r>
              <w:rPr>
                <w:rFonts w:hint="eastAsia" w:ascii="宋体" w:hAnsi="宋体" w:cs="仿宋_GB2312"/>
                <w:b/>
                <w:bCs/>
                <w:color w:val="000000"/>
                <w:kern w:val="0"/>
                <w:sz w:val="24"/>
              </w:rPr>
              <w:t>记分</w:t>
            </w:r>
          </w:p>
          <w:p>
            <w:pPr>
              <w:spacing w:line="320" w:lineRule="exact"/>
              <w:jc w:val="center"/>
              <w:rPr>
                <w:rFonts w:ascii="宋体" w:hAnsi="宋体" w:cs="仿宋_GB2312"/>
                <w:b/>
                <w:bCs/>
                <w:color w:val="000000"/>
                <w:kern w:val="0"/>
                <w:sz w:val="24"/>
              </w:rPr>
            </w:pPr>
            <w:r>
              <w:rPr>
                <w:rFonts w:hint="eastAsia" w:ascii="宋体" w:hAnsi="宋体" w:cs="仿宋_GB2312"/>
                <w:b/>
                <w:bCs/>
                <w:color w:val="000000"/>
                <w:kern w:val="0"/>
                <w:sz w:val="24"/>
              </w:rPr>
              <w:t>分数</w:t>
            </w:r>
          </w:p>
        </w:tc>
        <w:tc>
          <w:tcPr>
            <w:tcW w:w="1138" w:type="dxa"/>
            <w:tcBorders>
              <w:top w:val="single" w:color="auto" w:sz="4" w:space="0"/>
              <w:left w:val="single" w:color="auto" w:sz="4" w:space="0"/>
              <w:bottom w:val="single" w:color="auto" w:sz="4" w:space="0"/>
              <w:right w:val="single" w:color="auto" w:sz="4" w:space="0"/>
            </w:tcBorders>
            <w:vAlign w:val="center"/>
          </w:tcPr>
          <w:p>
            <w:pPr>
              <w:spacing w:line="320" w:lineRule="exact"/>
              <w:ind w:left="0" w:leftChars="-95" w:hanging="199" w:hangingChars="83"/>
              <w:jc w:val="center"/>
              <w:rPr>
                <w:rFonts w:ascii="宋体" w:hAnsi="宋体" w:cs="仿宋_GB2312"/>
                <w:b/>
                <w:bCs/>
                <w:color w:val="000000"/>
                <w:kern w:val="0"/>
                <w:sz w:val="24"/>
              </w:rPr>
            </w:pPr>
            <w:r>
              <w:rPr>
                <w:rFonts w:hint="eastAsia" w:ascii="宋体" w:hAnsi="宋体" w:cs="仿宋_GB2312"/>
                <w:b/>
                <w:bCs/>
                <w:color w:val="000000"/>
                <w:kern w:val="0"/>
                <w:sz w:val="24"/>
              </w:rPr>
              <w:t>√=符合</w:t>
            </w:r>
          </w:p>
          <w:p>
            <w:pPr>
              <w:spacing w:line="320" w:lineRule="exact"/>
              <w:ind w:left="0" w:leftChars="-95" w:hanging="199" w:hangingChars="83"/>
              <w:jc w:val="center"/>
              <w:rPr>
                <w:rFonts w:ascii="宋体" w:hAnsi="宋体" w:cs="仿宋_GB2312"/>
                <w:b/>
                <w:bCs/>
                <w:color w:val="000000"/>
                <w:kern w:val="0"/>
                <w:sz w:val="24"/>
              </w:rPr>
            </w:pPr>
            <w:r>
              <w:rPr>
                <w:rFonts w:hint="eastAsia" w:ascii="宋体" w:hAnsi="宋体" w:cs="仿宋_GB2312"/>
                <w:b/>
                <w:bCs/>
                <w:color w:val="000000"/>
                <w:kern w:val="0"/>
                <w:sz w:val="24"/>
              </w:rPr>
              <w:t>×=不符</w:t>
            </w:r>
          </w:p>
          <w:p>
            <w:pPr>
              <w:spacing w:line="320" w:lineRule="exact"/>
              <w:ind w:left="0" w:leftChars="-95" w:hanging="199" w:hangingChars="83"/>
              <w:jc w:val="center"/>
              <w:rPr>
                <w:rFonts w:ascii="宋体" w:hAnsi="宋体" w:cs="仿宋_GB2312"/>
                <w:b/>
                <w:bCs/>
                <w:color w:val="000000"/>
                <w:kern w:val="0"/>
                <w:sz w:val="24"/>
              </w:rPr>
            </w:pPr>
            <w:r>
              <w:rPr>
                <w:rFonts w:hint="eastAsia" w:ascii="宋体" w:hAnsi="宋体" w:cs="仿宋_GB2312"/>
                <w:b/>
                <w:bCs/>
                <w:color w:val="000000"/>
                <w:kern w:val="0"/>
                <w:sz w:val="24"/>
              </w:rPr>
              <w:t xml:space="preserve"> /=不适用</w:t>
            </w:r>
          </w:p>
        </w:tc>
        <w:tc>
          <w:tcPr>
            <w:tcW w:w="10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仿宋_GB2312"/>
                <w:b/>
                <w:bCs/>
                <w:color w:val="000000"/>
                <w:kern w:val="0"/>
                <w:sz w:val="24"/>
              </w:rPr>
            </w:pPr>
            <w:r>
              <w:rPr>
                <w:rFonts w:hint="eastAsia" w:ascii="宋体" w:hAnsi="宋体" w:cs="仿宋_GB2312"/>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48" w:type="dxa"/>
            <w:vMerge w:val="restart"/>
            <w:tcBorders>
              <w:top w:val="single" w:color="auto" w:sz="4" w:space="0"/>
              <w:left w:val="single" w:color="auto" w:sz="4" w:space="0"/>
              <w:right w:val="single" w:color="auto" w:sz="4" w:space="0"/>
            </w:tcBorders>
            <w:vAlign w:val="center"/>
          </w:tcPr>
          <w:p>
            <w:pPr>
              <w:spacing w:line="320" w:lineRule="exact"/>
              <w:rPr>
                <w:rFonts w:ascii="宋体" w:hAnsi="宋体"/>
                <w:b/>
                <w:color w:val="000000"/>
                <w:sz w:val="24"/>
              </w:rPr>
            </w:pPr>
            <w:r>
              <w:rPr>
                <w:rFonts w:hint="eastAsia" w:ascii="宋体" w:hAnsi="宋体"/>
                <w:b/>
                <w:color w:val="000000"/>
                <w:sz w:val="24"/>
              </w:rPr>
              <w:t>许可</w:t>
            </w:r>
          </w:p>
          <w:p>
            <w:pPr>
              <w:spacing w:line="320" w:lineRule="exact"/>
              <w:rPr>
                <w:rFonts w:ascii="宋体" w:hAnsi="宋体"/>
                <w:b/>
                <w:color w:val="000000"/>
                <w:sz w:val="24"/>
              </w:rPr>
            </w:pPr>
            <w:r>
              <w:rPr>
                <w:rFonts w:hint="eastAsia" w:ascii="宋体" w:hAnsi="宋体"/>
                <w:b/>
                <w:color w:val="000000"/>
                <w:sz w:val="24"/>
              </w:rPr>
              <w:t>管理</w:t>
            </w:r>
          </w:p>
        </w:tc>
        <w:tc>
          <w:tcPr>
            <w:tcW w:w="1017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olor w:val="000000"/>
                <w:sz w:val="24"/>
              </w:rPr>
            </w:pPr>
            <w:r>
              <w:rPr>
                <w:rFonts w:hint="eastAsia" w:ascii="宋体" w:hAnsi="宋体" w:cs="仿宋_GB2312"/>
                <w:color w:val="000000"/>
                <w:kern w:val="0"/>
                <w:sz w:val="24"/>
              </w:rPr>
              <w:t>1</w:t>
            </w:r>
            <w:r>
              <w:rPr>
                <w:rFonts w:hint="eastAsia" w:ascii="宋体" w:hAnsi="宋体"/>
                <w:color w:val="000000"/>
                <w:sz w:val="24"/>
              </w:rPr>
              <w:t>★ 餐饮</w:t>
            </w:r>
            <w:r>
              <w:rPr>
                <w:rFonts w:hint="eastAsia" w:ascii="宋体" w:hAnsi="宋体" w:cs="仿宋_GB2312"/>
                <w:color w:val="000000"/>
                <w:kern w:val="0"/>
                <w:sz w:val="24"/>
              </w:rPr>
              <w:t>经营许可证合法且在有效期内。</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236" w:firstLineChars="98"/>
              <w:jc w:val="right"/>
              <w:rPr>
                <w:rFonts w:ascii="宋体" w:hAnsi="宋体"/>
                <w:b/>
                <w:color w:val="000000"/>
                <w:sz w:val="24"/>
              </w:rPr>
            </w:pPr>
            <w:r>
              <w:rPr>
                <w:rFonts w:hint="eastAsia" w:ascii="宋体" w:hAnsi="宋体"/>
                <w:b/>
                <w:color w:val="000000"/>
                <w:sz w:val="24"/>
              </w:rPr>
              <w:t>20</w:t>
            </w:r>
          </w:p>
        </w:tc>
        <w:tc>
          <w:tcPr>
            <w:tcW w:w="113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right w:val="single" w:color="auto" w:sz="4" w:space="0"/>
            </w:tcBorders>
            <w:vAlign w:val="center"/>
          </w:tcPr>
          <w:p>
            <w:pPr>
              <w:widowControl/>
              <w:spacing w:line="320" w:lineRule="exact"/>
              <w:ind w:left="42" w:leftChars="20" w:right="42" w:rightChars="20"/>
              <w:rPr>
                <w:rFonts w:ascii="宋体" w:hAnsi="宋体"/>
                <w:b/>
                <w:color w:val="000000"/>
                <w:sz w:val="24"/>
              </w:rPr>
            </w:pPr>
          </w:p>
        </w:tc>
        <w:tc>
          <w:tcPr>
            <w:tcW w:w="1017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仿宋_GB2312"/>
                <w:color w:val="000000"/>
                <w:kern w:val="0"/>
                <w:sz w:val="24"/>
              </w:rPr>
            </w:pPr>
            <w:r>
              <w:rPr>
                <w:rFonts w:hint="eastAsia" w:ascii="宋体" w:hAnsi="宋体"/>
                <w:color w:val="000000"/>
                <w:sz w:val="24"/>
              </w:rPr>
              <w:t>2★实际</w:t>
            </w:r>
            <w:r>
              <w:rPr>
                <w:rFonts w:hint="eastAsia" w:ascii="宋体" w:hAnsi="宋体" w:cs="仿宋_GB2312"/>
                <w:color w:val="000000"/>
                <w:kern w:val="0"/>
                <w:sz w:val="24"/>
              </w:rPr>
              <w:t>经营地址、主体业态、经营项目等事项与食品经营许可证一致。</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236" w:firstLineChars="98"/>
              <w:jc w:val="right"/>
              <w:rPr>
                <w:rFonts w:ascii="宋体" w:hAnsi="宋体"/>
                <w:b/>
                <w:color w:val="000000"/>
                <w:sz w:val="24"/>
              </w:rPr>
            </w:pPr>
            <w:r>
              <w:rPr>
                <w:rFonts w:hint="eastAsia" w:ascii="宋体" w:hAnsi="宋体"/>
                <w:b/>
                <w:color w:val="000000"/>
                <w:sz w:val="24"/>
              </w:rPr>
              <w:t>20</w:t>
            </w:r>
          </w:p>
        </w:tc>
        <w:tc>
          <w:tcPr>
            <w:tcW w:w="113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848" w:type="dxa"/>
            <w:vMerge w:val="continue"/>
            <w:tcBorders>
              <w:left w:val="single" w:color="auto" w:sz="4" w:space="0"/>
              <w:bottom w:val="single" w:color="auto" w:sz="4" w:space="0"/>
              <w:right w:val="single" w:color="auto" w:sz="4" w:space="0"/>
            </w:tcBorders>
            <w:vAlign w:val="center"/>
          </w:tcPr>
          <w:p>
            <w:pPr>
              <w:spacing w:line="320" w:lineRule="exact"/>
              <w:ind w:left="42" w:leftChars="20" w:right="42" w:rightChars="20"/>
              <w:rPr>
                <w:rFonts w:ascii="宋体" w:hAnsi="宋体" w:cs="宋体"/>
                <w:b/>
                <w:bCs/>
                <w:color w:val="000000"/>
                <w:kern w:val="0"/>
                <w:sz w:val="24"/>
              </w:rPr>
            </w:pPr>
          </w:p>
        </w:tc>
        <w:tc>
          <w:tcPr>
            <w:tcW w:w="101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right="42" w:rightChars="20"/>
              <w:jc w:val="left"/>
              <w:rPr>
                <w:rFonts w:hint="eastAsia" w:ascii="宋体" w:hAnsi="宋体" w:cs="仿宋_GB2312"/>
                <w:color w:val="000000"/>
                <w:kern w:val="0"/>
                <w:sz w:val="24"/>
              </w:rPr>
            </w:pPr>
            <w:r>
              <w:rPr>
                <w:rFonts w:hint="eastAsia" w:ascii="宋体" w:hAnsi="宋体" w:cs="仿宋_GB2312"/>
                <w:color w:val="000000"/>
                <w:kern w:val="0"/>
                <w:sz w:val="24"/>
              </w:rPr>
              <w:t>3.无擅自改变生产经营条件不再符合食品安全要求或者有发生食品安全事故潜在风险。</w:t>
            </w:r>
          </w:p>
          <w:p>
            <w:pPr>
              <w:autoSpaceDE w:val="0"/>
              <w:autoSpaceDN w:val="0"/>
              <w:spacing w:line="320" w:lineRule="exact"/>
              <w:ind w:right="42" w:rightChars="20"/>
              <w:jc w:val="left"/>
              <w:rPr>
                <w:rFonts w:ascii="宋体" w:hAnsi="宋体" w:cs="仿宋_GB2312"/>
                <w:color w:val="000000"/>
                <w:kern w:val="0"/>
                <w:sz w:val="24"/>
              </w:rPr>
            </w:pPr>
            <w:r>
              <w:rPr>
                <w:rFonts w:hint="eastAsia" w:ascii="宋体" w:hAnsi="宋体" w:cs="仿宋_GB2312"/>
                <w:color w:val="000000"/>
                <w:kern w:val="0"/>
                <w:sz w:val="24"/>
              </w:rPr>
              <w:t>包含以下许可关键场所：（1）</w:t>
            </w:r>
            <w:r>
              <w:rPr>
                <w:rFonts w:hint="eastAsia" w:ascii="宋体" w:hAnsi="宋体"/>
                <w:sz w:val="24"/>
              </w:rPr>
              <w:t>设置与食品供应方式和品种相适应的粗加工、切配、烹饪、餐用具清洗消毒、备餐等加工操作场所。</w:t>
            </w:r>
            <w:r>
              <w:rPr>
                <w:rFonts w:hint="eastAsia" w:ascii="宋体" w:hAnsi="宋体"/>
                <w:color w:val="000000"/>
                <w:spacing w:val="-4"/>
                <w:sz w:val="24"/>
              </w:rPr>
              <w:t>（2）</w:t>
            </w:r>
            <w:r>
              <w:rPr>
                <w:rFonts w:hint="eastAsia" w:ascii="宋体" w:hAnsi="宋体"/>
                <w:sz w:val="24"/>
              </w:rPr>
              <w:t>进行冷食类、生食类食品、裱花类糕点制作和学校食堂（含幼儿园食堂）集中分餐，分别设置相应操作专间。</w:t>
            </w:r>
            <w:r>
              <w:rPr>
                <w:rFonts w:hint="eastAsia" w:ascii="宋体" w:hAnsi="宋体" w:cs="宋体"/>
                <w:kern w:val="0"/>
                <w:sz w:val="24"/>
                <w:lang w:val="zh-CN"/>
              </w:rPr>
              <w:t>生食海产品还需设置相应前处理专用操作场所</w:t>
            </w:r>
            <w:r>
              <w:rPr>
                <w:rFonts w:hint="eastAsia" w:ascii="宋体" w:hAnsi="宋体" w:cs="仿宋_GB2312"/>
                <w:color w:val="000000"/>
                <w:kern w:val="0"/>
                <w:sz w:val="24"/>
              </w:rPr>
              <w:t>（使用半成品的除外）</w:t>
            </w:r>
            <w:r>
              <w:rPr>
                <w:rFonts w:hint="eastAsia" w:ascii="宋体" w:hAnsi="宋体" w:cs="宋体"/>
                <w:kern w:val="0"/>
                <w:sz w:val="24"/>
                <w:lang w:val="zh-CN"/>
              </w:rPr>
              <w:t>。</w:t>
            </w:r>
            <w:r>
              <w:rPr>
                <w:rFonts w:hint="eastAsia" w:ascii="宋体" w:hAnsi="宋体"/>
                <w:sz w:val="24"/>
              </w:rPr>
              <w:t>配送沙拉、凉菜等半成品，现场仅拆封、调味，可在烹调加工场所或备餐、就餐场所进行。</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236" w:firstLineChars="98"/>
              <w:jc w:val="right"/>
              <w:rPr>
                <w:rFonts w:ascii="宋体" w:hAnsi="宋体"/>
                <w:b/>
                <w:color w:val="000000"/>
                <w:sz w:val="24"/>
              </w:rPr>
            </w:pPr>
            <w:r>
              <w:rPr>
                <w:rFonts w:hint="eastAsia" w:ascii="宋体" w:hAnsi="宋体"/>
                <w:b/>
                <w:color w:val="000000"/>
                <w:sz w:val="24"/>
              </w:rPr>
              <w:t>5</w:t>
            </w:r>
          </w:p>
        </w:tc>
        <w:tc>
          <w:tcPr>
            <w:tcW w:w="113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ind w:left="42" w:leftChars="20" w:right="42" w:rightChars="20"/>
              <w:rPr>
                <w:rFonts w:ascii="宋体" w:hAnsi="宋体"/>
                <w:b/>
                <w:color w:val="000000"/>
                <w:sz w:val="24"/>
              </w:rPr>
            </w:pPr>
            <w:r>
              <w:rPr>
                <w:rFonts w:hint="eastAsia" w:ascii="宋体" w:hAnsi="宋体" w:cs="宋体"/>
                <w:b/>
                <w:bCs/>
                <w:color w:val="000000"/>
                <w:kern w:val="0"/>
                <w:sz w:val="24"/>
              </w:rPr>
              <w:t>信息公示</w:t>
            </w:r>
          </w:p>
        </w:tc>
        <w:tc>
          <w:tcPr>
            <w:tcW w:w="101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left="42" w:leftChars="20" w:right="42" w:rightChars="20"/>
              <w:rPr>
                <w:rFonts w:ascii="宋体" w:hAnsi="宋体"/>
                <w:color w:val="000000"/>
                <w:sz w:val="24"/>
              </w:rPr>
            </w:pPr>
            <w:r>
              <w:rPr>
                <w:rFonts w:hint="eastAsia" w:ascii="宋体" w:hAnsi="宋体" w:cs="仿宋_GB2312"/>
                <w:color w:val="000000"/>
                <w:kern w:val="0"/>
                <w:sz w:val="24"/>
              </w:rPr>
              <w:t>4.在经营场所醒目位置公示食品经营许可证、量化等级、监督检查记录表、食品安全承诺书、食品安全管理员、健康证及使用的食品添加剂、大宗食品原料来源等信息。</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hint="eastAsia" w:ascii="宋体" w:hAnsi="宋体"/>
                <w:b/>
                <w:color w:val="000000"/>
                <w:sz w:val="24"/>
              </w:rPr>
            </w:pPr>
          </w:p>
          <w:p>
            <w:pPr>
              <w:spacing w:line="320" w:lineRule="exact"/>
              <w:ind w:firstLine="482"/>
              <w:jc w:val="right"/>
              <w:rPr>
                <w:rFonts w:ascii="宋体" w:hAnsi="宋体"/>
                <w:b/>
                <w:color w:val="000000"/>
                <w:sz w:val="24"/>
              </w:rPr>
            </w:pPr>
            <w:r>
              <w:rPr>
                <w:rFonts w:hint="eastAsia" w:ascii="宋体" w:hAnsi="宋体"/>
                <w:b/>
                <w:color w:val="000000"/>
                <w:sz w:val="24"/>
              </w:rPr>
              <w:t>1</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宋体" w:hAnsi="宋体"/>
                <w:color w:val="000000"/>
                <w:sz w:val="24"/>
              </w:rPr>
            </w:pPr>
          </w:p>
          <w:p>
            <w:pPr>
              <w:spacing w:line="32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b/>
                <w:color w:val="000000"/>
                <w:sz w:val="24"/>
              </w:rPr>
            </w:pPr>
          </w:p>
        </w:tc>
        <w:tc>
          <w:tcPr>
            <w:tcW w:w="101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left="42" w:leftChars="20" w:right="42" w:rightChars="20"/>
              <w:rPr>
                <w:rFonts w:ascii="宋体" w:hAnsi="宋体"/>
                <w:color w:val="000000"/>
                <w:spacing w:val="-14"/>
                <w:sz w:val="24"/>
              </w:rPr>
            </w:pPr>
            <w:r>
              <w:rPr>
                <w:rFonts w:hint="eastAsia" w:ascii="宋体" w:hAnsi="宋体" w:cs="仿宋_GB2312"/>
                <w:color w:val="000000"/>
                <w:kern w:val="0"/>
                <w:sz w:val="24"/>
              </w:rPr>
              <w:t>5</w:t>
            </w:r>
            <w:r>
              <w:rPr>
                <w:rFonts w:hint="eastAsia" w:ascii="宋体" w:hAnsi="宋体" w:cs="宋体"/>
                <w:b/>
                <w:bCs/>
                <w:color w:val="000000"/>
                <w:kern w:val="0"/>
                <w:sz w:val="24"/>
              </w:rPr>
              <w:t>※</w:t>
            </w:r>
            <w:r>
              <w:rPr>
                <w:rFonts w:hint="eastAsia" w:ascii="宋体" w:hAnsi="宋体" w:cs="仿宋_GB2312"/>
                <w:color w:val="000000"/>
                <w:kern w:val="0"/>
                <w:sz w:val="24"/>
              </w:rPr>
              <w:t>按照“明厨亮灶”建设规范指引要求，公示加工操作关键过程。</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ascii="宋体" w:hAnsi="宋体"/>
                <w:b/>
                <w:color w:val="000000"/>
                <w:sz w:val="24"/>
              </w:rPr>
            </w:pPr>
            <w:r>
              <w:rPr>
                <w:rFonts w:hint="eastAsia" w:ascii="宋体" w:hAnsi="宋体"/>
                <w:b/>
                <w:color w:val="000000"/>
                <w:sz w:val="24"/>
              </w:rPr>
              <w:t>1</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restart"/>
            <w:tcBorders>
              <w:top w:val="single" w:color="auto" w:sz="4" w:space="0"/>
              <w:left w:val="single" w:color="auto" w:sz="4" w:space="0"/>
              <w:right w:val="single" w:color="auto" w:sz="4" w:space="0"/>
            </w:tcBorders>
            <w:vAlign w:val="center"/>
          </w:tcPr>
          <w:p>
            <w:pPr>
              <w:spacing w:line="320" w:lineRule="exact"/>
              <w:rPr>
                <w:rFonts w:ascii="宋体" w:hAnsi="宋体" w:cs="宋体"/>
                <w:b/>
                <w:bCs/>
                <w:color w:val="000000"/>
                <w:kern w:val="0"/>
                <w:sz w:val="24"/>
              </w:rPr>
            </w:pPr>
            <w:r>
              <w:rPr>
                <w:rFonts w:hint="eastAsia" w:ascii="宋体" w:hAnsi="宋体" w:cs="宋体"/>
                <w:b/>
                <w:bCs/>
                <w:color w:val="000000"/>
                <w:kern w:val="0"/>
                <w:sz w:val="24"/>
              </w:rPr>
              <w:t>制度</w:t>
            </w:r>
          </w:p>
          <w:p>
            <w:pPr>
              <w:spacing w:line="320" w:lineRule="exact"/>
              <w:rPr>
                <w:rFonts w:ascii="宋体" w:hAnsi="宋体"/>
                <w:b/>
                <w:color w:val="000000"/>
                <w:sz w:val="24"/>
              </w:rPr>
            </w:pPr>
            <w:r>
              <w:rPr>
                <w:rFonts w:hint="eastAsia" w:ascii="宋体" w:hAnsi="宋体" w:cs="宋体"/>
                <w:b/>
                <w:bCs/>
                <w:color w:val="000000"/>
                <w:kern w:val="0"/>
                <w:sz w:val="24"/>
              </w:rPr>
              <w:t>管理</w:t>
            </w:r>
          </w:p>
        </w:tc>
        <w:tc>
          <w:tcPr>
            <w:tcW w:w="101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left="42" w:leftChars="20" w:right="42" w:rightChars="20"/>
              <w:rPr>
                <w:rFonts w:ascii="宋体" w:hAnsi="宋体"/>
                <w:color w:val="000000"/>
                <w:sz w:val="24"/>
              </w:rPr>
            </w:pPr>
            <w:r>
              <w:rPr>
                <w:rFonts w:hint="eastAsia" w:ascii="宋体" w:hAnsi="宋体" w:cs="仿宋_GB2312"/>
                <w:color w:val="000000"/>
                <w:kern w:val="0"/>
                <w:sz w:val="24"/>
              </w:rPr>
              <w:t>6.建立并落实从业人员健康管理、进货查验、食品召回等对应的食品安全管理制度。</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ascii="宋体" w:hAnsi="宋体"/>
                <w:b/>
                <w:color w:val="000000"/>
                <w:sz w:val="24"/>
              </w:rPr>
            </w:pPr>
            <w:r>
              <w:rPr>
                <w:rFonts w:hint="eastAsia" w:ascii="宋体" w:hAnsi="宋体"/>
                <w:b/>
                <w:color w:val="000000"/>
                <w:sz w:val="24"/>
              </w:rPr>
              <w:t>1</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right w:val="single" w:color="auto" w:sz="4" w:space="0"/>
            </w:tcBorders>
            <w:vAlign w:val="center"/>
          </w:tcPr>
          <w:p>
            <w:pPr>
              <w:spacing w:line="320" w:lineRule="exact"/>
              <w:rPr>
                <w:rFonts w:ascii="宋体" w:hAnsi="宋体"/>
                <w:b/>
                <w:color w:val="000000"/>
                <w:sz w:val="24"/>
              </w:rPr>
            </w:pPr>
          </w:p>
        </w:tc>
        <w:tc>
          <w:tcPr>
            <w:tcW w:w="101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left="42" w:leftChars="20" w:right="42" w:rightChars="20"/>
              <w:rPr>
                <w:rFonts w:ascii="宋体" w:hAnsi="宋体"/>
                <w:color w:val="000000"/>
                <w:sz w:val="24"/>
              </w:rPr>
            </w:pPr>
            <w:r>
              <w:rPr>
                <w:rFonts w:hint="eastAsia" w:ascii="宋体" w:hAnsi="宋体" w:cs="仿宋_GB2312"/>
                <w:color w:val="000000"/>
                <w:kern w:val="0"/>
                <w:sz w:val="24"/>
              </w:rPr>
              <w:t>7.制定食品安全事故处置方案。</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ascii="宋体" w:hAnsi="宋体"/>
                <w:b/>
                <w:color w:val="000000"/>
                <w:sz w:val="24"/>
              </w:rPr>
            </w:pPr>
            <w:r>
              <w:rPr>
                <w:rFonts w:hint="eastAsia" w:ascii="宋体" w:hAnsi="宋体"/>
                <w:b/>
                <w:color w:val="000000"/>
                <w:sz w:val="24"/>
              </w:rPr>
              <w:t>1</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bottom w:val="single" w:color="auto" w:sz="4" w:space="0"/>
              <w:right w:val="single" w:color="auto" w:sz="4" w:space="0"/>
            </w:tcBorders>
            <w:vAlign w:val="center"/>
          </w:tcPr>
          <w:p>
            <w:pPr>
              <w:spacing w:line="320" w:lineRule="exact"/>
              <w:rPr>
                <w:rFonts w:ascii="宋体" w:hAnsi="宋体"/>
                <w:b/>
                <w:color w:val="000000"/>
                <w:sz w:val="24"/>
              </w:rPr>
            </w:pPr>
          </w:p>
        </w:tc>
        <w:tc>
          <w:tcPr>
            <w:tcW w:w="101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left="42" w:leftChars="20" w:right="42" w:rightChars="20"/>
              <w:rPr>
                <w:rFonts w:ascii="宋体" w:hAnsi="宋体" w:cs="仿宋_GB2312"/>
                <w:color w:val="000000"/>
                <w:kern w:val="0"/>
                <w:sz w:val="24"/>
              </w:rPr>
            </w:pPr>
            <w:r>
              <w:rPr>
                <w:rFonts w:hint="eastAsia" w:ascii="宋体" w:hAnsi="宋体" w:cs="仿宋_GB2312"/>
                <w:color w:val="000000"/>
                <w:kern w:val="0"/>
                <w:sz w:val="24"/>
              </w:rPr>
              <w:t>8.建立食品安全自查制度，对食品安全状况进行检查评价形成书面记录，定期上报监管部门。</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ascii="宋体" w:hAnsi="宋体"/>
                <w:b/>
                <w:color w:val="000000"/>
                <w:sz w:val="24"/>
              </w:rPr>
            </w:pPr>
            <w:r>
              <w:rPr>
                <w:rFonts w:hint="eastAsia" w:ascii="宋体" w:hAnsi="宋体"/>
                <w:b/>
                <w:color w:val="000000"/>
                <w:sz w:val="24"/>
              </w:rPr>
              <w:t>1</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8" w:type="dxa"/>
            <w:vMerge w:val="restart"/>
            <w:tcBorders>
              <w:top w:val="single" w:color="auto" w:sz="4" w:space="0"/>
              <w:left w:val="single" w:color="auto" w:sz="4" w:space="0"/>
              <w:right w:val="single" w:color="auto" w:sz="4" w:space="0"/>
            </w:tcBorders>
            <w:vAlign w:val="center"/>
          </w:tcPr>
          <w:p>
            <w:pPr>
              <w:spacing w:line="320" w:lineRule="exact"/>
              <w:rPr>
                <w:rFonts w:ascii="宋体" w:hAnsi="宋体"/>
                <w:b/>
                <w:color w:val="000000"/>
                <w:sz w:val="24"/>
              </w:rPr>
            </w:pPr>
            <w:r>
              <w:rPr>
                <w:rFonts w:hint="eastAsia" w:ascii="宋体" w:hAnsi="宋体"/>
                <w:b/>
                <w:color w:val="000000"/>
                <w:sz w:val="24"/>
              </w:rPr>
              <w:t>人员</w:t>
            </w:r>
          </w:p>
          <w:p>
            <w:pPr>
              <w:spacing w:line="320" w:lineRule="exact"/>
              <w:rPr>
                <w:rFonts w:ascii="宋体" w:hAnsi="宋体"/>
                <w:b/>
                <w:color w:val="000000"/>
                <w:sz w:val="24"/>
              </w:rPr>
            </w:pPr>
            <w:r>
              <w:rPr>
                <w:rFonts w:hint="eastAsia" w:ascii="宋体" w:hAnsi="宋体"/>
                <w:b/>
                <w:color w:val="000000"/>
                <w:sz w:val="24"/>
              </w:rPr>
              <w:t>管理</w:t>
            </w:r>
          </w:p>
        </w:tc>
        <w:tc>
          <w:tcPr>
            <w:tcW w:w="101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left="42" w:leftChars="20" w:right="42" w:rightChars="20"/>
              <w:rPr>
                <w:rFonts w:ascii="宋体" w:hAnsi="宋体" w:cs="仿宋_GB2312"/>
                <w:color w:val="000000"/>
                <w:kern w:val="0"/>
                <w:sz w:val="24"/>
              </w:rPr>
            </w:pPr>
            <w:r>
              <w:rPr>
                <w:rFonts w:hint="eastAsia" w:ascii="宋体" w:hAnsi="宋体" w:cs="仿宋_GB2312"/>
                <w:color w:val="000000"/>
                <w:kern w:val="0"/>
                <w:sz w:val="24"/>
              </w:rPr>
              <w:t>9.主要负责人知晓食品安全责任，按要求配备食品安全管理人员，食品安全管理员经过食品安全培训合格、在岗并按规定履行职责。经抽查考核不具备食品安全相关专业知识和管理能力的，不得上岗。</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1" w:firstLineChars="200"/>
              <w:rPr>
                <w:rFonts w:ascii="宋体" w:hAnsi="宋体"/>
                <w:b/>
                <w:color w:val="000000"/>
                <w:sz w:val="24"/>
              </w:rPr>
            </w:pPr>
            <w:r>
              <w:rPr>
                <w:rFonts w:hint="eastAsia" w:ascii="宋体" w:hAnsi="宋体"/>
                <w:b/>
                <w:color w:val="000000"/>
                <w:sz w:val="24"/>
              </w:rPr>
              <w:t>5</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right w:val="single" w:color="auto" w:sz="4" w:space="0"/>
            </w:tcBorders>
            <w:vAlign w:val="center"/>
          </w:tcPr>
          <w:p>
            <w:pPr>
              <w:spacing w:line="320" w:lineRule="exact"/>
              <w:rPr>
                <w:rFonts w:ascii="宋体" w:hAnsi="宋体"/>
                <w:b/>
                <w:color w:val="000000"/>
                <w:sz w:val="24"/>
              </w:rPr>
            </w:pPr>
          </w:p>
        </w:tc>
        <w:tc>
          <w:tcPr>
            <w:tcW w:w="101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left="42" w:leftChars="20" w:right="42" w:rightChars="20"/>
              <w:rPr>
                <w:rFonts w:ascii="宋体" w:hAnsi="宋体" w:cs="仿宋_GB2312"/>
                <w:color w:val="000000"/>
                <w:kern w:val="0"/>
                <w:sz w:val="24"/>
              </w:rPr>
            </w:pPr>
            <w:r>
              <w:rPr>
                <w:rFonts w:hint="eastAsia" w:ascii="宋体" w:hAnsi="宋体" w:cs="仿宋_GB2312"/>
                <w:color w:val="000000"/>
                <w:kern w:val="0"/>
                <w:sz w:val="24"/>
              </w:rPr>
              <w:t>10.从事接触即食食品工作的从业人员持有有效的健康证明。</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ascii="宋体" w:hAnsi="宋体"/>
                <w:b/>
                <w:color w:val="000000"/>
                <w:sz w:val="24"/>
              </w:rPr>
            </w:pPr>
            <w:r>
              <w:rPr>
                <w:rFonts w:hint="eastAsia" w:ascii="宋体" w:hAnsi="宋体"/>
                <w:b/>
                <w:color w:val="000000"/>
                <w:sz w:val="24"/>
              </w:rPr>
              <w:t>2</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8" w:type="dxa"/>
            <w:vMerge w:val="continue"/>
            <w:tcBorders>
              <w:left w:val="single" w:color="auto" w:sz="4" w:space="0"/>
              <w:right w:val="single" w:color="auto" w:sz="4" w:space="0"/>
            </w:tcBorders>
            <w:vAlign w:val="center"/>
          </w:tcPr>
          <w:p>
            <w:pPr>
              <w:spacing w:line="320" w:lineRule="exact"/>
              <w:rPr>
                <w:rFonts w:ascii="宋体" w:hAnsi="宋体"/>
                <w:b/>
                <w:color w:val="000000"/>
                <w:sz w:val="24"/>
              </w:rPr>
            </w:pPr>
          </w:p>
        </w:tc>
        <w:tc>
          <w:tcPr>
            <w:tcW w:w="101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left="42" w:leftChars="20" w:right="42" w:rightChars="20"/>
              <w:rPr>
                <w:rFonts w:ascii="宋体" w:hAnsi="宋体"/>
                <w:color w:val="000000"/>
                <w:sz w:val="24"/>
              </w:rPr>
            </w:pPr>
            <w:r>
              <w:rPr>
                <w:rFonts w:hint="eastAsia" w:ascii="宋体" w:hAnsi="宋体" w:cs="仿宋_GB2312"/>
                <w:color w:val="000000"/>
                <w:kern w:val="0"/>
                <w:sz w:val="24"/>
              </w:rPr>
              <w:t>11.开展从业人员健康晨检工作，对患有有碍食品安全疾病的人员立即调离食品加工岗位。</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right="360" w:firstLine="482"/>
              <w:jc w:val="right"/>
              <w:rPr>
                <w:rFonts w:ascii="宋体" w:hAnsi="宋体"/>
                <w:b/>
                <w:color w:val="000000"/>
                <w:sz w:val="24"/>
              </w:rPr>
            </w:pPr>
            <w:r>
              <w:rPr>
                <w:rFonts w:hint="eastAsia" w:ascii="宋体" w:hAnsi="宋体"/>
                <w:b/>
                <w:color w:val="000000"/>
                <w:sz w:val="24"/>
              </w:rPr>
              <w:t>1</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Cs/>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48" w:type="dxa"/>
            <w:vMerge w:val="continue"/>
            <w:tcBorders>
              <w:left w:val="single" w:color="auto" w:sz="4" w:space="0"/>
              <w:right w:val="single" w:color="auto" w:sz="4" w:space="0"/>
            </w:tcBorders>
            <w:vAlign w:val="center"/>
          </w:tcPr>
          <w:p>
            <w:pPr>
              <w:spacing w:line="320" w:lineRule="exact"/>
              <w:rPr>
                <w:rFonts w:ascii="宋体" w:hAnsi="宋体"/>
                <w:b/>
                <w:color w:val="000000"/>
                <w:sz w:val="24"/>
              </w:rPr>
            </w:pPr>
          </w:p>
        </w:tc>
        <w:tc>
          <w:tcPr>
            <w:tcW w:w="101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left="42" w:leftChars="20" w:right="42" w:rightChars="20"/>
              <w:rPr>
                <w:rFonts w:ascii="宋体" w:hAnsi="宋体"/>
                <w:color w:val="000000"/>
                <w:sz w:val="24"/>
              </w:rPr>
            </w:pPr>
            <w:r>
              <w:rPr>
                <w:rFonts w:hint="eastAsia" w:ascii="宋体" w:hAnsi="宋体" w:cs="仿宋_GB2312"/>
                <w:color w:val="000000"/>
                <w:kern w:val="0"/>
                <w:sz w:val="24"/>
              </w:rPr>
              <w:t>12.从业人员生产经营未密封包装的食品时应穿戴清洁的工作衣帽，双手洗净，保持个人卫生。</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ascii="宋体" w:hAnsi="宋体"/>
                <w:b/>
                <w:color w:val="000000"/>
                <w:sz w:val="24"/>
              </w:rPr>
            </w:pPr>
            <w:r>
              <w:rPr>
                <w:rFonts w:hint="eastAsia" w:ascii="宋体" w:hAnsi="宋体"/>
                <w:b/>
                <w:color w:val="000000"/>
                <w:sz w:val="24"/>
              </w:rPr>
              <w:t>1</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right w:val="single" w:color="auto" w:sz="4" w:space="0"/>
            </w:tcBorders>
            <w:vAlign w:val="center"/>
          </w:tcPr>
          <w:p>
            <w:pPr>
              <w:spacing w:line="320" w:lineRule="exact"/>
              <w:rPr>
                <w:rFonts w:ascii="宋体" w:hAnsi="宋体"/>
                <w:b/>
                <w:color w:val="000000"/>
                <w:sz w:val="24"/>
              </w:rPr>
            </w:pPr>
          </w:p>
        </w:tc>
        <w:tc>
          <w:tcPr>
            <w:tcW w:w="1017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rPr>
            </w:pPr>
            <w:r>
              <w:rPr>
                <w:rFonts w:hint="eastAsia" w:ascii="宋体" w:hAnsi="宋体" w:cs="仿宋_GB2312"/>
                <w:color w:val="000000"/>
                <w:kern w:val="0"/>
                <w:sz w:val="24"/>
              </w:rPr>
              <w:t>13.从业人员有食品安全知识培训记录，现场抽查能熟悉食品安全岗位知识要求</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ascii="宋体" w:hAnsi="宋体"/>
                <w:b/>
                <w:color w:val="000000"/>
                <w:sz w:val="24"/>
              </w:rPr>
            </w:pPr>
            <w:r>
              <w:rPr>
                <w:rFonts w:hint="eastAsia" w:ascii="宋体" w:hAnsi="宋体"/>
                <w:b/>
                <w:color w:val="000000"/>
                <w:sz w:val="24"/>
              </w:rPr>
              <w:t>1</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48" w:type="dxa"/>
            <w:vMerge w:val="restart"/>
            <w:tcBorders>
              <w:top w:val="single" w:color="auto" w:sz="4" w:space="0"/>
              <w:left w:val="single" w:color="auto" w:sz="4" w:space="0"/>
              <w:right w:val="single" w:color="auto" w:sz="4" w:space="0"/>
            </w:tcBorders>
            <w:vAlign w:val="center"/>
          </w:tcPr>
          <w:p>
            <w:pPr>
              <w:spacing w:line="320" w:lineRule="exact"/>
              <w:rPr>
                <w:rFonts w:ascii="宋体" w:hAnsi="宋体"/>
                <w:b/>
                <w:color w:val="000000"/>
                <w:sz w:val="24"/>
              </w:rPr>
            </w:pPr>
            <w:r>
              <w:rPr>
                <w:rFonts w:hint="eastAsia" w:ascii="宋体" w:hAnsi="宋体"/>
                <w:b/>
                <w:color w:val="000000"/>
                <w:sz w:val="24"/>
              </w:rPr>
              <w:t>环境</w:t>
            </w:r>
          </w:p>
          <w:p>
            <w:pPr>
              <w:spacing w:line="320" w:lineRule="exact"/>
              <w:rPr>
                <w:rFonts w:ascii="宋体" w:hAnsi="宋体"/>
                <w:b/>
                <w:color w:val="000000"/>
                <w:sz w:val="24"/>
              </w:rPr>
            </w:pPr>
            <w:r>
              <w:rPr>
                <w:rFonts w:hint="eastAsia" w:ascii="宋体" w:hAnsi="宋体"/>
                <w:b/>
                <w:color w:val="000000"/>
                <w:sz w:val="24"/>
              </w:rPr>
              <w:t>卫生</w:t>
            </w:r>
          </w:p>
        </w:tc>
        <w:tc>
          <w:tcPr>
            <w:tcW w:w="1017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rPr>
            </w:pPr>
            <w:r>
              <w:rPr>
                <w:rFonts w:hint="eastAsia" w:ascii="宋体" w:hAnsi="宋体"/>
                <w:color w:val="000000"/>
                <w:sz w:val="24"/>
              </w:rPr>
              <w:t>14.</w:t>
            </w:r>
            <w:r>
              <w:rPr>
                <w:rFonts w:hint="eastAsia" w:ascii="宋体" w:hAnsi="宋体" w:cs="仿宋_GB2312"/>
                <w:color w:val="000000"/>
                <w:kern w:val="0"/>
                <w:sz w:val="24"/>
              </w:rPr>
              <w:t>经营场所保持清洁、卫生，地面、墙壁、天花板和门窗等洁净；排水沟渠畅通，垃圾和废弃物及时清理；无昆虫、鼠害；</w:t>
            </w:r>
            <w:r>
              <w:rPr>
                <w:rFonts w:hint="eastAsia" w:ascii="宋体" w:hAnsi="宋体" w:cs="仿宋"/>
                <w:color w:val="000000"/>
                <w:kern w:val="0"/>
                <w:sz w:val="24"/>
              </w:rPr>
              <w:t>与污染源保持规定的距离，食品处理区内无厕所。</w:t>
            </w:r>
            <w:r>
              <w:rPr>
                <w:rFonts w:hint="eastAsia" w:ascii="宋体" w:hAnsi="宋体" w:cs="仿宋_GB2312"/>
                <w:color w:val="000000"/>
                <w:kern w:val="0"/>
                <w:sz w:val="24"/>
              </w:rPr>
              <w:t>从业个人用品、厨房杂物、拖把等清洁工具、用具清洗水池（容器），不会污染食品及其加工制作过程。</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61" w:firstLineChars="150"/>
              <w:rPr>
                <w:rFonts w:ascii="宋体" w:hAnsi="宋体"/>
                <w:b/>
                <w:color w:val="000000"/>
                <w:sz w:val="24"/>
              </w:rPr>
            </w:pPr>
            <w:r>
              <w:rPr>
                <w:rFonts w:hint="eastAsia" w:ascii="宋体" w:hAnsi="宋体"/>
                <w:b/>
                <w:color w:val="000000"/>
                <w:sz w:val="24"/>
              </w:rPr>
              <w:t>5</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vMerge w:val="continue"/>
            <w:tcBorders>
              <w:left w:val="single" w:color="auto" w:sz="4" w:space="0"/>
              <w:right w:val="single" w:color="auto" w:sz="4" w:space="0"/>
            </w:tcBorders>
            <w:vAlign w:val="center"/>
          </w:tcPr>
          <w:p>
            <w:pPr>
              <w:spacing w:line="320" w:lineRule="exact"/>
              <w:rPr>
                <w:rFonts w:ascii="宋体" w:hAnsi="宋体"/>
                <w:b/>
                <w:color w:val="000000"/>
                <w:sz w:val="24"/>
              </w:rPr>
            </w:pPr>
          </w:p>
        </w:tc>
        <w:tc>
          <w:tcPr>
            <w:tcW w:w="1017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rPr>
            </w:pPr>
            <w:r>
              <w:rPr>
                <w:rFonts w:hint="eastAsia" w:ascii="宋体" w:hAnsi="宋体"/>
                <w:color w:val="000000"/>
                <w:sz w:val="24"/>
              </w:rPr>
              <w:t>15.</w:t>
            </w:r>
            <w:r>
              <w:rPr>
                <w:rFonts w:hint="eastAsia" w:ascii="宋体" w:hAnsi="宋体" w:cs="仿宋_GB2312"/>
                <w:color w:val="000000"/>
                <w:kern w:val="0"/>
                <w:sz w:val="24"/>
              </w:rPr>
              <w:t>用水符合生活饮用水卫生标准。（1）</w:t>
            </w:r>
            <w:r>
              <w:rPr>
                <w:rFonts w:hint="eastAsia" w:ascii="宋体" w:hAnsi="宋体"/>
                <w:sz w:val="24"/>
              </w:rPr>
              <w:t>食品清洗、加工用水符合生活饮用水标准。自备水源应提供有资质的检测机构出具的水质检测合格报告。（2）接触直接入口食品（包括冷食类、生食类食品和自制饮品）的水</w:t>
            </w:r>
            <w:r>
              <w:rPr>
                <w:rFonts w:hint="eastAsia" w:ascii="宋体" w:hAnsi="宋体" w:cs="宋体"/>
                <w:kern w:val="0"/>
                <w:sz w:val="24"/>
                <w:lang w:val="zh-CN"/>
              </w:rPr>
              <w:t>经过水净化设施处理或使用直接饮用水。</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right="480" w:firstLine="482"/>
              <w:jc w:val="right"/>
              <w:rPr>
                <w:rFonts w:hint="eastAsia" w:ascii="宋体" w:hAnsi="宋体"/>
                <w:b/>
                <w:color w:val="000000"/>
                <w:sz w:val="24"/>
              </w:rPr>
            </w:pPr>
          </w:p>
          <w:p>
            <w:pPr>
              <w:spacing w:line="320" w:lineRule="exact"/>
              <w:ind w:right="360" w:firstLine="482"/>
              <w:jc w:val="right"/>
              <w:rPr>
                <w:rFonts w:ascii="宋体" w:hAnsi="宋体"/>
                <w:b/>
                <w:color w:val="000000"/>
                <w:sz w:val="24"/>
              </w:rPr>
            </w:pPr>
            <w:r>
              <w:rPr>
                <w:rFonts w:hint="eastAsia" w:ascii="宋体" w:hAnsi="宋体"/>
                <w:b/>
                <w:color w:val="000000"/>
                <w:sz w:val="24"/>
              </w:rPr>
              <w:t>5</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48" w:type="dxa"/>
            <w:vMerge w:val="continue"/>
            <w:tcBorders>
              <w:left w:val="single" w:color="auto" w:sz="4" w:space="0"/>
              <w:right w:val="single" w:color="auto" w:sz="4" w:space="0"/>
            </w:tcBorders>
            <w:vAlign w:val="center"/>
          </w:tcPr>
          <w:p>
            <w:pPr>
              <w:spacing w:line="320" w:lineRule="exact"/>
              <w:rPr>
                <w:rFonts w:ascii="宋体" w:hAnsi="宋体"/>
                <w:b/>
                <w:color w:val="000000"/>
                <w:sz w:val="24"/>
              </w:rPr>
            </w:pPr>
          </w:p>
        </w:tc>
        <w:tc>
          <w:tcPr>
            <w:tcW w:w="1017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rPr>
            </w:pPr>
            <w:r>
              <w:rPr>
                <w:rFonts w:hint="eastAsia" w:ascii="宋体" w:hAnsi="宋体" w:cs="仿宋_GB2312"/>
                <w:color w:val="000000"/>
                <w:kern w:val="0"/>
                <w:sz w:val="24"/>
              </w:rPr>
              <w:t>16.</w:t>
            </w:r>
            <w:r>
              <w:rPr>
                <w:rFonts w:hint="eastAsia" w:ascii="宋体" w:hAnsi="宋体" w:cs="宋体"/>
                <w:b/>
                <w:bCs/>
                <w:color w:val="000000"/>
                <w:kern w:val="0"/>
                <w:sz w:val="24"/>
              </w:rPr>
              <w:t>◎</w:t>
            </w:r>
            <w:r>
              <w:rPr>
                <w:rFonts w:hint="eastAsia" w:ascii="宋体" w:hAnsi="宋体" w:cs="仿宋_GB2312"/>
                <w:color w:val="000000"/>
                <w:kern w:val="0"/>
                <w:sz w:val="24"/>
              </w:rPr>
              <w:t>卫生间保持清洁、卫生，定期清理。</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ascii="宋体" w:hAnsi="宋体"/>
                <w:b/>
                <w:color w:val="000000"/>
                <w:sz w:val="24"/>
              </w:rPr>
            </w:pPr>
            <w:r>
              <w:rPr>
                <w:rFonts w:hint="eastAsia" w:ascii="宋体" w:hAnsi="宋体"/>
                <w:b/>
                <w:color w:val="000000"/>
                <w:sz w:val="24"/>
              </w:rPr>
              <w:t>1</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48" w:type="dxa"/>
            <w:vMerge w:val="continue"/>
            <w:tcBorders>
              <w:left w:val="single" w:color="auto" w:sz="4" w:space="0"/>
              <w:right w:val="single" w:color="auto" w:sz="4" w:space="0"/>
            </w:tcBorders>
            <w:vAlign w:val="center"/>
          </w:tcPr>
          <w:p>
            <w:pPr>
              <w:spacing w:line="320" w:lineRule="exact"/>
              <w:rPr>
                <w:rFonts w:ascii="宋体" w:hAnsi="宋体"/>
                <w:b/>
                <w:color w:val="000000"/>
                <w:sz w:val="24"/>
              </w:rPr>
            </w:pPr>
          </w:p>
        </w:tc>
        <w:tc>
          <w:tcPr>
            <w:tcW w:w="1017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rPr>
            </w:pPr>
            <w:r>
              <w:rPr>
                <w:rFonts w:hint="eastAsia" w:ascii="宋体" w:hAnsi="宋体" w:cs="宋体"/>
                <w:color w:val="000000"/>
                <w:sz w:val="24"/>
              </w:rPr>
              <w:t>17场所内禁止设立圈养、宰杀活的禽畜类动物。</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right="-181" w:rightChars="-86"/>
              <w:rPr>
                <w:rFonts w:hint="eastAsia" w:ascii="宋体" w:hAnsi="宋体"/>
                <w:b/>
                <w:color w:val="000000"/>
                <w:sz w:val="24"/>
              </w:rPr>
            </w:pPr>
            <w:r>
              <w:rPr>
                <w:rFonts w:hint="eastAsia" w:ascii="宋体" w:hAnsi="宋体"/>
                <w:b/>
                <w:color w:val="000000"/>
                <w:sz w:val="24"/>
              </w:rPr>
              <w:t xml:space="preserve">    5</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48" w:type="dxa"/>
            <w:vMerge w:val="restart"/>
            <w:tcBorders>
              <w:top w:val="single" w:color="auto" w:sz="4" w:space="0"/>
              <w:left w:val="single" w:color="auto" w:sz="4" w:space="0"/>
              <w:right w:val="single" w:color="auto" w:sz="4" w:space="0"/>
            </w:tcBorders>
            <w:vAlign w:val="center"/>
          </w:tcPr>
          <w:p>
            <w:pPr>
              <w:spacing w:line="320" w:lineRule="exact"/>
              <w:ind w:left="120" w:hanging="120" w:hangingChars="50"/>
              <w:rPr>
                <w:rFonts w:ascii="宋体" w:hAnsi="宋体" w:cs="宋体"/>
                <w:b/>
                <w:color w:val="000000"/>
                <w:kern w:val="0"/>
                <w:sz w:val="24"/>
              </w:rPr>
            </w:pPr>
            <w:r>
              <w:rPr>
                <w:rFonts w:hint="eastAsia" w:ascii="宋体" w:hAnsi="宋体"/>
                <w:b/>
                <w:color w:val="000000"/>
                <w:sz w:val="24"/>
              </w:rPr>
              <w:t>设施设备</w:t>
            </w:r>
          </w:p>
        </w:tc>
        <w:tc>
          <w:tcPr>
            <w:tcW w:w="1017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 w:val="24"/>
              </w:rPr>
            </w:pPr>
            <w:r>
              <w:rPr>
                <w:rFonts w:hint="eastAsia" w:ascii="宋体" w:hAnsi="宋体"/>
                <w:color w:val="000000"/>
                <w:sz w:val="24"/>
              </w:rPr>
              <w:t>18.</w:t>
            </w:r>
            <w:r>
              <w:rPr>
                <w:rFonts w:ascii="宋体" w:hAnsi="宋体"/>
                <w:color w:val="000000"/>
                <w:spacing w:val="-6"/>
                <w:sz w:val="24"/>
              </w:rPr>
              <w:t xml:space="preserve"> </w:t>
            </w:r>
            <w:r>
              <w:rPr>
                <w:rFonts w:hint="eastAsia" w:ascii="宋体" w:hAnsi="宋体"/>
                <w:color w:val="000000"/>
                <w:spacing w:val="-4"/>
                <w:sz w:val="24"/>
              </w:rPr>
              <w:t>有与许可范围相适应数量的以下设施：清洗池、操作台、排烟、通风、采光、照明、带盖的</w:t>
            </w:r>
            <w:r>
              <w:rPr>
                <w:rFonts w:hint="eastAsia" w:ascii="宋体" w:hAnsi="宋体" w:cs="仿宋_GB2312"/>
                <w:color w:val="000000"/>
                <w:kern w:val="0"/>
                <w:sz w:val="24"/>
              </w:rPr>
              <w:t>餐厨废弃物存放容器</w:t>
            </w:r>
            <w:r>
              <w:rPr>
                <w:rFonts w:hint="eastAsia" w:ascii="宋体" w:hAnsi="宋体"/>
                <w:color w:val="000000"/>
                <w:spacing w:val="-4"/>
                <w:sz w:val="24"/>
              </w:rPr>
              <w:t>等加工用设施，</w:t>
            </w:r>
            <w:r>
              <w:rPr>
                <w:rFonts w:hint="eastAsia" w:ascii="宋体" w:hAnsi="宋体"/>
                <w:sz w:val="24"/>
              </w:rPr>
              <w:t>以及食品</w:t>
            </w:r>
            <w:r>
              <w:rPr>
                <w:rFonts w:hint="eastAsia" w:ascii="宋体" w:hAnsi="宋体"/>
                <w:color w:val="000000"/>
                <w:spacing w:val="-4"/>
                <w:sz w:val="24"/>
              </w:rPr>
              <w:t>贮存</w:t>
            </w:r>
            <w:r>
              <w:rPr>
                <w:rFonts w:hint="eastAsia" w:ascii="宋体" w:hAnsi="宋体"/>
                <w:sz w:val="24"/>
              </w:rPr>
              <w:t>、更衣、清洁工具存放场所等，除清洁工具存放场所外，其他场所均设在室内。</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72" w:firstLineChars="196"/>
              <w:jc w:val="right"/>
              <w:rPr>
                <w:rFonts w:ascii="宋体" w:hAnsi="宋体"/>
                <w:b/>
                <w:color w:val="000000"/>
                <w:sz w:val="24"/>
              </w:rPr>
            </w:pPr>
            <w:r>
              <w:rPr>
                <w:rFonts w:hint="eastAsia" w:ascii="宋体" w:hAnsi="宋体"/>
                <w:b/>
                <w:color w:val="000000"/>
                <w:sz w:val="24"/>
              </w:rPr>
              <w:t>1</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right w:val="single" w:color="auto" w:sz="4" w:space="0"/>
            </w:tcBorders>
            <w:vAlign w:val="center"/>
          </w:tcPr>
          <w:p>
            <w:pPr>
              <w:widowControl/>
              <w:spacing w:line="320" w:lineRule="exact"/>
              <w:jc w:val="left"/>
              <w:rPr>
                <w:rFonts w:ascii="宋体" w:hAnsi="宋体" w:cs="宋体"/>
                <w:b/>
                <w:color w:val="000000"/>
                <w:kern w:val="0"/>
                <w:sz w:val="24"/>
              </w:rPr>
            </w:pPr>
          </w:p>
        </w:tc>
        <w:tc>
          <w:tcPr>
            <w:tcW w:w="1017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rPr>
            </w:pPr>
            <w:r>
              <w:rPr>
                <w:rFonts w:hint="eastAsia" w:ascii="宋体" w:hAnsi="宋体"/>
                <w:color w:val="000000"/>
                <w:spacing w:val="-4"/>
                <w:sz w:val="24"/>
              </w:rPr>
              <w:t>19</w:t>
            </w:r>
            <w:r>
              <w:rPr>
                <w:rFonts w:ascii="宋体" w:hAnsi="宋体"/>
                <w:color w:val="000000"/>
                <w:sz w:val="24"/>
              </w:rPr>
              <w:t xml:space="preserve"> </w:t>
            </w:r>
            <w:r>
              <w:rPr>
                <w:rFonts w:hint="eastAsia" w:ascii="宋体" w:hAnsi="宋体" w:cs="仿宋_GB2312"/>
                <w:color w:val="000000"/>
                <w:kern w:val="0"/>
                <w:sz w:val="24"/>
              </w:rPr>
              <w:t>食品加工、贮存、陈列及“三防”等设施设备运转正常，</w:t>
            </w:r>
            <w:r>
              <w:rPr>
                <w:rFonts w:hint="eastAsia" w:ascii="宋体" w:hAnsi="宋体"/>
                <w:color w:val="000000"/>
                <w:spacing w:val="-6"/>
                <w:sz w:val="24"/>
              </w:rPr>
              <w:t>有与供应品种数量相适应的冷藏、热保存设施，能满足生熟分开存放。</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236" w:firstLineChars="98"/>
              <w:jc w:val="right"/>
              <w:rPr>
                <w:rFonts w:ascii="宋体" w:hAnsi="宋体"/>
                <w:b/>
                <w:color w:val="000000"/>
                <w:sz w:val="24"/>
              </w:rPr>
            </w:pPr>
            <w:r>
              <w:rPr>
                <w:rFonts w:hint="eastAsia" w:ascii="宋体" w:hAnsi="宋体"/>
                <w:b/>
                <w:color w:val="000000"/>
                <w:sz w:val="24"/>
              </w:rPr>
              <w:t>1</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8" w:type="dxa"/>
            <w:vMerge w:val="continue"/>
            <w:tcBorders>
              <w:left w:val="single" w:color="auto" w:sz="4" w:space="0"/>
              <w:right w:val="single" w:color="auto" w:sz="4" w:space="0"/>
            </w:tcBorders>
            <w:vAlign w:val="center"/>
          </w:tcPr>
          <w:p>
            <w:pPr>
              <w:widowControl/>
              <w:spacing w:line="320" w:lineRule="exact"/>
              <w:jc w:val="left"/>
              <w:rPr>
                <w:rFonts w:ascii="宋体" w:hAnsi="宋体" w:cs="宋体"/>
                <w:b/>
                <w:color w:val="000000"/>
                <w:kern w:val="0"/>
                <w:sz w:val="24"/>
              </w:rPr>
            </w:pPr>
          </w:p>
        </w:tc>
        <w:tc>
          <w:tcPr>
            <w:tcW w:w="1017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rPr>
            </w:pPr>
            <w:r>
              <w:rPr>
                <w:rFonts w:hint="eastAsia" w:ascii="宋体" w:hAnsi="宋体" w:cs="仿宋_GB2312"/>
                <w:color w:val="000000"/>
                <w:kern w:val="0"/>
                <w:sz w:val="24"/>
              </w:rPr>
              <w:t>20.食品处理区设有方便员工使用的相应数量洗手设施（含洗手、干手用品)</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ascii="宋体" w:hAnsi="宋体"/>
                <w:b/>
                <w:color w:val="000000"/>
                <w:sz w:val="24"/>
              </w:rPr>
            </w:pPr>
            <w:r>
              <w:rPr>
                <w:rFonts w:hint="eastAsia" w:ascii="宋体" w:hAnsi="宋体"/>
                <w:b/>
                <w:color w:val="000000"/>
                <w:sz w:val="24"/>
              </w:rPr>
              <w:t>2</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8"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cs="宋体"/>
                <w:b/>
                <w:bCs/>
                <w:color w:val="000000"/>
                <w:kern w:val="0"/>
                <w:sz w:val="24"/>
              </w:rPr>
            </w:pPr>
          </w:p>
        </w:tc>
        <w:tc>
          <w:tcPr>
            <w:tcW w:w="101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20" w:right="20"/>
              <w:rPr>
                <w:rFonts w:ascii="宋体" w:hAnsi="宋体"/>
                <w:color w:val="000000"/>
                <w:sz w:val="24"/>
              </w:rPr>
            </w:pPr>
            <w:r>
              <w:rPr>
                <w:rFonts w:hint="eastAsia" w:ascii="宋体" w:hAnsi="宋体" w:cs="仿宋_GB2312"/>
                <w:color w:val="000000"/>
                <w:kern w:val="0"/>
                <w:sz w:val="24"/>
              </w:rPr>
              <w:t>21.制作食品的设施设备及加工工具（刀、砧板等）、操作台、容器等有显著标识。</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ascii="宋体" w:hAnsi="宋体"/>
                <w:b/>
                <w:color w:val="000000"/>
                <w:sz w:val="24"/>
              </w:rPr>
            </w:pPr>
            <w:r>
              <w:rPr>
                <w:rFonts w:hint="eastAsia" w:ascii="宋体" w:hAnsi="宋体"/>
                <w:b/>
                <w:color w:val="000000"/>
                <w:sz w:val="24"/>
              </w:rPr>
              <w:t>1</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color w:val="000000"/>
                <w:sz w:val="24"/>
              </w:rPr>
            </w:pPr>
            <w:r>
              <w:rPr>
                <w:rFonts w:hint="eastAsia" w:ascii="宋体" w:hAnsi="宋体" w:cs="宋体"/>
                <w:b/>
                <w:bCs/>
                <w:color w:val="000000"/>
                <w:kern w:val="0"/>
                <w:sz w:val="24"/>
              </w:rPr>
              <w:t>原料控制</w:t>
            </w:r>
          </w:p>
        </w:tc>
        <w:tc>
          <w:tcPr>
            <w:tcW w:w="1017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olor w:val="000000"/>
                <w:sz w:val="24"/>
              </w:rPr>
            </w:pPr>
            <w:r>
              <w:rPr>
                <w:rFonts w:hint="eastAsia" w:ascii="宋体" w:hAnsi="宋体"/>
                <w:color w:val="000000"/>
                <w:sz w:val="24"/>
              </w:rPr>
              <w:t>22.</w:t>
            </w:r>
            <w:r>
              <w:rPr>
                <w:rFonts w:hint="eastAsia" w:ascii="宋体" w:hAnsi="宋体" w:cs="仿宋"/>
                <w:color w:val="000000"/>
                <w:kern w:val="0"/>
                <w:sz w:val="24"/>
              </w:rPr>
              <w:t>查验</w:t>
            </w:r>
            <w:r>
              <w:rPr>
                <w:rFonts w:hint="eastAsia" w:ascii="宋体" w:hAnsi="宋体" w:cs="宋体"/>
                <w:color w:val="000000"/>
                <w:kern w:val="0"/>
                <w:sz w:val="24"/>
              </w:rPr>
              <w:t>食品及原料，食品添加剂、食品相关产品</w:t>
            </w:r>
            <w:r>
              <w:rPr>
                <w:rFonts w:hint="eastAsia" w:ascii="宋体" w:hAnsi="宋体" w:cs="仿宋"/>
                <w:color w:val="000000"/>
                <w:kern w:val="0"/>
                <w:sz w:val="24"/>
              </w:rPr>
              <w:t>供货者的许可证和食品出厂检验合格证或者其他合格证明，并留存复印件及发货票证，</w:t>
            </w:r>
            <w:r>
              <w:rPr>
                <w:rFonts w:hint="eastAsia" w:ascii="宋体" w:hAnsi="宋体"/>
                <w:color w:val="000000"/>
                <w:sz w:val="24"/>
              </w:rPr>
              <w:t>有台账记录</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ascii="宋体" w:hAnsi="宋体"/>
                <w:b/>
                <w:color w:val="000000"/>
                <w:sz w:val="24"/>
              </w:rPr>
            </w:pPr>
            <w:r>
              <w:rPr>
                <w:rFonts w:hint="eastAsia" w:ascii="宋体" w:hAnsi="宋体"/>
                <w:b/>
                <w:color w:val="000000"/>
                <w:sz w:val="24"/>
              </w:rPr>
              <w:t>5</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b/>
                <w:color w:val="000000"/>
                <w:sz w:val="24"/>
              </w:rPr>
            </w:pPr>
          </w:p>
        </w:tc>
        <w:tc>
          <w:tcPr>
            <w:tcW w:w="1017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olor w:val="000000"/>
                <w:sz w:val="24"/>
              </w:rPr>
            </w:pPr>
            <w:r>
              <w:rPr>
                <w:rFonts w:hint="eastAsia" w:ascii="宋体" w:hAnsi="宋体" w:cs="仿宋_GB2312"/>
                <w:color w:val="000000"/>
                <w:kern w:val="0"/>
                <w:sz w:val="24"/>
              </w:rPr>
              <w:t>23.原料外包装标识符合要求，按照外包装标识的条件和要求规范贮存</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ascii="宋体" w:hAnsi="宋体"/>
                <w:b/>
                <w:color w:val="000000"/>
                <w:sz w:val="24"/>
              </w:rPr>
            </w:pPr>
            <w:r>
              <w:rPr>
                <w:rFonts w:hint="eastAsia" w:ascii="宋体" w:hAnsi="宋体"/>
                <w:b/>
                <w:color w:val="000000"/>
                <w:sz w:val="24"/>
              </w:rPr>
              <w:t>1</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b/>
                <w:color w:val="000000"/>
                <w:sz w:val="24"/>
              </w:rPr>
            </w:pPr>
          </w:p>
        </w:tc>
        <w:tc>
          <w:tcPr>
            <w:tcW w:w="1017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仿宋_GB2312"/>
                <w:color w:val="000000"/>
                <w:kern w:val="0"/>
                <w:sz w:val="24"/>
              </w:rPr>
            </w:pPr>
            <w:r>
              <w:rPr>
                <w:rFonts w:hint="eastAsia" w:ascii="宋体" w:hAnsi="宋体" w:cs="仿宋_GB2312"/>
                <w:color w:val="000000"/>
                <w:kern w:val="0"/>
                <w:sz w:val="24"/>
              </w:rPr>
              <w:t>24.食品及原料贮存符合要求，分类分架、隔墙离地、通风防潮存放，定期检查并及时清理变质或超保质期的食品；有毒有害物质不得一同存放。</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ascii="宋体" w:hAnsi="宋体"/>
                <w:b/>
                <w:color w:val="000000"/>
                <w:sz w:val="24"/>
              </w:rPr>
            </w:pPr>
            <w:r>
              <w:rPr>
                <w:rFonts w:hint="eastAsia" w:ascii="宋体" w:hAnsi="宋体"/>
                <w:b/>
                <w:color w:val="000000"/>
                <w:sz w:val="24"/>
              </w:rPr>
              <w:t>1</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b/>
                <w:color w:val="000000"/>
                <w:sz w:val="24"/>
              </w:rPr>
            </w:pPr>
          </w:p>
        </w:tc>
        <w:tc>
          <w:tcPr>
            <w:tcW w:w="1017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olor w:val="000000"/>
                <w:sz w:val="24"/>
              </w:rPr>
            </w:pPr>
            <w:r>
              <w:rPr>
                <w:rFonts w:hint="eastAsia" w:ascii="宋体" w:hAnsi="宋体"/>
                <w:color w:val="000000"/>
                <w:sz w:val="24"/>
              </w:rPr>
              <w:t>25.</w:t>
            </w:r>
            <w:r>
              <w:rPr>
                <w:rFonts w:hint="eastAsia" w:ascii="宋体" w:hAnsi="宋体" w:cs="仿宋_GB2312"/>
                <w:color w:val="000000"/>
                <w:kern w:val="0"/>
                <w:sz w:val="24"/>
              </w:rPr>
              <w:t>用于餐饮加工操作的工具、设备和贮存食品的容器符合安全要求。</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ascii="宋体" w:hAnsi="宋体"/>
                <w:b/>
                <w:color w:val="000000"/>
                <w:sz w:val="24"/>
              </w:rPr>
            </w:pPr>
            <w:r>
              <w:rPr>
                <w:rFonts w:hint="eastAsia" w:ascii="宋体" w:hAnsi="宋体"/>
                <w:b/>
                <w:color w:val="000000"/>
                <w:sz w:val="24"/>
              </w:rPr>
              <w:t>1</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48" w:type="dxa"/>
            <w:vMerge w:val="restart"/>
            <w:tcBorders>
              <w:top w:val="single" w:color="auto" w:sz="4" w:space="0"/>
              <w:left w:val="single" w:color="auto" w:sz="4" w:space="0"/>
              <w:right w:val="single" w:color="auto" w:sz="4" w:space="0"/>
            </w:tcBorders>
            <w:vAlign w:val="center"/>
          </w:tcPr>
          <w:p>
            <w:pPr>
              <w:spacing w:line="320" w:lineRule="exact"/>
              <w:rPr>
                <w:rFonts w:ascii="宋体" w:hAnsi="宋体"/>
                <w:b/>
                <w:color w:val="000000"/>
                <w:sz w:val="24"/>
              </w:rPr>
            </w:pPr>
            <w:r>
              <w:rPr>
                <w:rFonts w:hint="eastAsia" w:ascii="宋体" w:hAnsi="宋体"/>
                <w:b/>
                <w:color w:val="000000"/>
                <w:sz w:val="24"/>
              </w:rPr>
              <w:t>加工</w:t>
            </w:r>
          </w:p>
          <w:p>
            <w:pPr>
              <w:spacing w:line="320" w:lineRule="exact"/>
              <w:rPr>
                <w:rFonts w:ascii="宋体" w:hAnsi="宋体"/>
                <w:b/>
                <w:color w:val="000000"/>
                <w:sz w:val="24"/>
              </w:rPr>
            </w:pPr>
            <w:r>
              <w:rPr>
                <w:rFonts w:hint="eastAsia" w:ascii="宋体" w:hAnsi="宋体"/>
                <w:b/>
                <w:color w:val="000000"/>
                <w:sz w:val="24"/>
              </w:rPr>
              <w:t>过程</w:t>
            </w:r>
          </w:p>
        </w:tc>
        <w:tc>
          <w:tcPr>
            <w:tcW w:w="1017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rPr>
            </w:pPr>
            <w:r>
              <w:rPr>
                <w:rFonts w:hint="eastAsia" w:ascii="宋体" w:hAnsi="宋体"/>
                <w:color w:val="000000"/>
                <w:sz w:val="24"/>
              </w:rPr>
              <w:t>26.</w:t>
            </w:r>
            <w:r>
              <w:rPr>
                <w:rFonts w:hint="eastAsia" w:ascii="宋体" w:hAnsi="宋体" w:cs="仿宋_GB2312"/>
                <w:color w:val="000000"/>
                <w:kern w:val="0"/>
                <w:sz w:val="24"/>
              </w:rPr>
              <w:t>食品成品（即食食品）存放的温度和时间符合要求。</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ascii="宋体" w:hAnsi="宋体"/>
                <w:b/>
                <w:color w:val="000000"/>
                <w:sz w:val="24"/>
              </w:rPr>
            </w:pPr>
            <w:r>
              <w:rPr>
                <w:rFonts w:hint="eastAsia" w:ascii="宋体" w:hAnsi="宋体"/>
                <w:b/>
                <w:color w:val="000000"/>
                <w:sz w:val="24"/>
              </w:rPr>
              <w:t>2</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right w:val="single" w:color="auto" w:sz="4" w:space="0"/>
            </w:tcBorders>
            <w:vAlign w:val="center"/>
          </w:tcPr>
          <w:p>
            <w:pPr>
              <w:widowControl/>
              <w:spacing w:line="320" w:lineRule="exact"/>
              <w:jc w:val="left"/>
              <w:rPr>
                <w:rFonts w:ascii="宋体" w:hAnsi="宋体"/>
                <w:b/>
                <w:color w:val="000000"/>
                <w:sz w:val="24"/>
              </w:rPr>
            </w:pPr>
          </w:p>
        </w:tc>
        <w:tc>
          <w:tcPr>
            <w:tcW w:w="10174" w:type="dxa"/>
            <w:tcBorders>
              <w:top w:val="single" w:color="auto" w:sz="4" w:space="0"/>
              <w:left w:val="single" w:color="auto" w:sz="4" w:space="0"/>
              <w:bottom w:val="single" w:color="auto" w:sz="4" w:space="0"/>
              <w:right w:val="single" w:color="auto" w:sz="4" w:space="0"/>
            </w:tcBorders>
          </w:tcPr>
          <w:p>
            <w:pPr>
              <w:pStyle w:val="25"/>
              <w:widowControl/>
              <w:shd w:val="clear" w:color="auto" w:fill="FFFFFF"/>
              <w:spacing w:beforeAutospacing="0" w:afterAutospacing="0" w:line="400" w:lineRule="exact"/>
              <w:jc w:val="both"/>
              <w:rPr>
                <w:rFonts w:hint="eastAsia" w:ascii="宋体" w:hAnsi="宋体" w:cs="仿宋_GB2312"/>
                <w:color w:val="000000"/>
              </w:rPr>
            </w:pPr>
            <w:r>
              <w:rPr>
                <w:rFonts w:hint="eastAsia" w:ascii="宋体" w:hAnsi="宋体" w:cs="仿宋_GB2312"/>
                <w:color w:val="000000"/>
              </w:rPr>
              <w:t>27★不使用、加工、经营非食品原料生产的食品或者添加食品添加剂以外的含有毒、有害化学物质和其他可能危害人体健康物质的食品，或者用回收食品作为原料生产的食品；或者用回收食品作为原料生产的食品；</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ascii="宋体" w:hAnsi="宋体"/>
                <w:b/>
                <w:color w:val="000000"/>
                <w:sz w:val="24"/>
              </w:rPr>
            </w:pPr>
          </w:p>
          <w:p>
            <w:pPr>
              <w:spacing w:line="320" w:lineRule="exact"/>
              <w:jc w:val="right"/>
              <w:rPr>
                <w:rFonts w:ascii="宋体" w:hAnsi="宋体"/>
                <w:b/>
                <w:color w:val="000000"/>
                <w:sz w:val="24"/>
              </w:rPr>
            </w:pPr>
            <w:r>
              <w:rPr>
                <w:rFonts w:hint="eastAsia" w:ascii="宋体" w:hAnsi="宋体"/>
                <w:b/>
                <w:color w:val="000000"/>
                <w:sz w:val="24"/>
              </w:rPr>
              <w:t>20</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bCs/>
                <w:color w:val="000000"/>
                <w:sz w:val="24"/>
              </w:rPr>
            </w:pPr>
          </w:p>
        </w:tc>
        <w:tc>
          <w:tcPr>
            <w:tcW w:w="100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right w:val="single" w:color="auto" w:sz="4" w:space="0"/>
            </w:tcBorders>
            <w:vAlign w:val="center"/>
          </w:tcPr>
          <w:p>
            <w:pPr>
              <w:widowControl/>
              <w:spacing w:line="320" w:lineRule="exact"/>
              <w:jc w:val="left"/>
              <w:rPr>
                <w:rFonts w:ascii="宋体" w:hAnsi="宋体"/>
                <w:b/>
                <w:color w:val="000000"/>
                <w:sz w:val="24"/>
              </w:rPr>
            </w:pPr>
          </w:p>
        </w:tc>
        <w:tc>
          <w:tcPr>
            <w:tcW w:w="10174" w:type="dxa"/>
            <w:tcBorders>
              <w:top w:val="single" w:color="auto" w:sz="4" w:space="0"/>
              <w:left w:val="single" w:color="auto" w:sz="4" w:space="0"/>
              <w:bottom w:val="single" w:color="auto" w:sz="4" w:space="0"/>
              <w:right w:val="single" w:color="auto" w:sz="4" w:space="0"/>
            </w:tcBorders>
          </w:tcPr>
          <w:p>
            <w:pPr>
              <w:pStyle w:val="25"/>
              <w:widowControl/>
              <w:shd w:val="clear" w:color="auto" w:fill="FFFFFF"/>
              <w:spacing w:beforeAutospacing="0" w:afterAutospacing="0" w:line="400" w:lineRule="exact"/>
              <w:jc w:val="both"/>
              <w:rPr>
                <w:rFonts w:hint="eastAsia" w:ascii="宋体" w:hAnsi="宋体" w:cs="仿宋_GB2312"/>
                <w:color w:val="000000"/>
              </w:rPr>
            </w:pPr>
            <w:r>
              <w:rPr>
                <w:rFonts w:hint="eastAsia" w:ascii="宋体" w:hAnsi="宋体" w:cs="仿宋_GB2312"/>
                <w:color w:val="000000"/>
              </w:rPr>
              <w:t>28.不使用超过保质期、腐败变质、油脂酸败、霉变生虫、污秽不洁、混有异物、掺假掺杂或者感官性状异常的食品、食品添加剂，以及其他国家禁止生产经营的食品及原料。</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54" w:firstLineChars="147"/>
              <w:jc w:val="right"/>
              <w:rPr>
                <w:rFonts w:ascii="宋体" w:hAnsi="宋体"/>
                <w:b/>
                <w:color w:val="000000"/>
                <w:sz w:val="24"/>
              </w:rPr>
            </w:pPr>
            <w:r>
              <w:rPr>
                <w:rFonts w:hint="eastAsia" w:ascii="宋体" w:hAnsi="宋体"/>
                <w:b/>
                <w:color w:val="000000"/>
                <w:sz w:val="24"/>
              </w:rPr>
              <w:t>5</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8" w:type="dxa"/>
            <w:vMerge w:val="continue"/>
            <w:tcBorders>
              <w:left w:val="single" w:color="auto" w:sz="4" w:space="0"/>
              <w:right w:val="single" w:color="auto" w:sz="4" w:space="0"/>
            </w:tcBorders>
            <w:vAlign w:val="center"/>
          </w:tcPr>
          <w:p>
            <w:pPr>
              <w:widowControl/>
              <w:spacing w:line="320" w:lineRule="exact"/>
              <w:jc w:val="left"/>
              <w:rPr>
                <w:rFonts w:ascii="宋体" w:hAnsi="宋体"/>
                <w:b/>
                <w:color w:val="000000"/>
                <w:sz w:val="24"/>
              </w:rPr>
            </w:pPr>
          </w:p>
        </w:tc>
        <w:tc>
          <w:tcPr>
            <w:tcW w:w="1017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olor w:val="000000"/>
                <w:sz w:val="24"/>
              </w:rPr>
            </w:pPr>
            <w:r>
              <w:rPr>
                <w:rFonts w:hint="eastAsia" w:ascii="宋体" w:hAnsi="宋体" w:cs="仿宋_GB2312"/>
                <w:color w:val="000000"/>
                <w:kern w:val="0"/>
                <w:sz w:val="24"/>
              </w:rPr>
              <w:t>29.食品原料、半成品与成品在盛放、贮存时应相互分开，没有受到人员或污垢等污染；餐具、食品或已盛装食品的容器不得直接置于地上。</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54" w:firstLineChars="147"/>
              <w:jc w:val="right"/>
              <w:rPr>
                <w:rFonts w:ascii="宋体" w:hAnsi="宋体"/>
                <w:b/>
                <w:color w:val="000000"/>
                <w:sz w:val="24"/>
              </w:rPr>
            </w:pPr>
            <w:r>
              <w:rPr>
                <w:rFonts w:hint="eastAsia" w:ascii="宋体" w:hAnsi="宋体"/>
                <w:b/>
                <w:color w:val="000000"/>
                <w:sz w:val="24"/>
              </w:rPr>
              <w:t>2</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8" w:type="dxa"/>
            <w:vMerge w:val="continue"/>
            <w:tcBorders>
              <w:left w:val="single" w:color="auto" w:sz="4" w:space="0"/>
              <w:right w:val="single" w:color="auto" w:sz="4" w:space="0"/>
            </w:tcBorders>
            <w:vAlign w:val="center"/>
          </w:tcPr>
          <w:p>
            <w:pPr>
              <w:widowControl/>
              <w:spacing w:line="320" w:lineRule="exact"/>
              <w:jc w:val="left"/>
              <w:rPr>
                <w:rFonts w:ascii="宋体" w:hAnsi="宋体"/>
                <w:b/>
                <w:color w:val="000000"/>
                <w:sz w:val="24"/>
              </w:rPr>
            </w:pPr>
          </w:p>
        </w:tc>
        <w:tc>
          <w:tcPr>
            <w:tcW w:w="1017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000000"/>
                <w:kern w:val="0"/>
                <w:sz w:val="24"/>
              </w:rPr>
            </w:pPr>
            <w:r>
              <w:rPr>
                <w:rFonts w:hint="eastAsia" w:ascii="宋体" w:hAnsi="宋体"/>
                <w:color w:val="000000"/>
                <w:sz w:val="24"/>
              </w:rPr>
              <w:t>30.食品添加剂无滥用现象，做到专人保管、专柜保存，有使用记录。</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ascii="宋体" w:hAnsi="宋体"/>
                <w:b/>
                <w:color w:val="000000"/>
                <w:sz w:val="24"/>
              </w:rPr>
            </w:pPr>
            <w:r>
              <w:rPr>
                <w:rFonts w:hint="eastAsia" w:ascii="宋体" w:hAnsi="宋体"/>
                <w:b/>
                <w:color w:val="000000"/>
                <w:sz w:val="24"/>
              </w:rPr>
              <w:t>2</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right w:val="single" w:color="auto" w:sz="4" w:space="0"/>
            </w:tcBorders>
            <w:vAlign w:val="center"/>
          </w:tcPr>
          <w:p>
            <w:pPr>
              <w:widowControl/>
              <w:spacing w:line="320" w:lineRule="exact"/>
              <w:jc w:val="left"/>
              <w:rPr>
                <w:rFonts w:ascii="宋体" w:hAnsi="宋体"/>
                <w:b/>
                <w:color w:val="000000"/>
                <w:sz w:val="24"/>
              </w:rPr>
            </w:pPr>
          </w:p>
        </w:tc>
        <w:tc>
          <w:tcPr>
            <w:tcW w:w="1017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olor w:val="000000"/>
                <w:sz w:val="24"/>
              </w:rPr>
            </w:pPr>
            <w:r>
              <w:rPr>
                <w:rFonts w:hint="eastAsia" w:ascii="宋体" w:hAnsi="宋体" w:cs="仿宋_GB2312"/>
                <w:color w:val="000000"/>
                <w:kern w:val="0"/>
                <w:sz w:val="24"/>
              </w:rPr>
              <w:t>31.清洗、消毒水池不得与其他用途水池混用。</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1" w:firstLineChars="200"/>
              <w:jc w:val="right"/>
              <w:rPr>
                <w:rFonts w:ascii="宋体" w:hAnsi="宋体"/>
                <w:b/>
                <w:color w:val="000000"/>
                <w:sz w:val="24"/>
              </w:rPr>
            </w:pPr>
            <w:r>
              <w:rPr>
                <w:rFonts w:hint="eastAsia" w:ascii="宋体" w:hAnsi="宋体"/>
                <w:b/>
                <w:color w:val="000000"/>
                <w:sz w:val="24"/>
              </w:rPr>
              <w:t>1</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b/>
                <w:color w:val="000000"/>
                <w:sz w:val="24"/>
              </w:rPr>
            </w:pPr>
          </w:p>
        </w:tc>
        <w:tc>
          <w:tcPr>
            <w:tcW w:w="1017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仿宋_GB2312"/>
                <w:color w:val="000000"/>
                <w:kern w:val="0"/>
                <w:sz w:val="24"/>
              </w:rPr>
            </w:pPr>
            <w:r>
              <w:rPr>
                <w:rFonts w:hint="eastAsia" w:ascii="宋体" w:hAnsi="宋体" w:cs="仿宋_GB2312"/>
                <w:color w:val="000000"/>
                <w:kern w:val="0"/>
                <w:sz w:val="24"/>
              </w:rPr>
              <w:t>32</w:t>
            </w:r>
            <w:r>
              <w:rPr>
                <w:rFonts w:hint="eastAsia" w:ascii="宋体" w:hAnsi="宋体" w:cs="宋体"/>
                <w:b/>
                <w:bCs/>
                <w:color w:val="000000"/>
                <w:kern w:val="0"/>
                <w:sz w:val="24"/>
              </w:rPr>
              <w:t>◎</w:t>
            </w:r>
            <w:r>
              <w:rPr>
                <w:rFonts w:hint="eastAsia" w:ascii="宋体" w:hAnsi="宋体" w:cs="仿宋_GB2312"/>
                <w:color w:val="000000"/>
                <w:kern w:val="0"/>
                <w:sz w:val="24"/>
              </w:rPr>
              <w:t>食品留样符合规范（</w:t>
            </w:r>
            <w:r>
              <w:rPr>
                <w:rFonts w:hint="eastAsia"/>
                <w:color w:val="000000"/>
                <w:sz w:val="24"/>
              </w:rPr>
              <w:t>设有专用留样容器、冷藏设施，每批次、每品种食品成品均要留样，每种不少于100g密封于消毒后的容器内，冷藏48小时</w:t>
            </w:r>
            <w:r>
              <w:rPr>
                <w:rFonts w:hint="eastAsia" w:hAnsi="宋体"/>
                <w:b/>
                <w:bCs/>
                <w:color w:val="000000"/>
                <w:spacing w:val="-4"/>
                <w:sz w:val="24"/>
              </w:rPr>
              <w:t>）</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ascii="宋体" w:hAnsi="宋体"/>
                <w:b/>
                <w:color w:val="000000"/>
                <w:sz w:val="24"/>
              </w:rPr>
            </w:pPr>
            <w:r>
              <w:rPr>
                <w:rFonts w:hint="eastAsia" w:ascii="宋体" w:hAnsi="宋体"/>
                <w:b/>
                <w:color w:val="000000"/>
                <w:sz w:val="24"/>
              </w:rPr>
              <w:t>2</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b/>
                <w:color w:val="000000"/>
                <w:sz w:val="24"/>
              </w:rPr>
            </w:pPr>
            <w:r>
              <w:rPr>
                <w:rFonts w:hint="eastAsia"/>
                <w:color w:val="000000"/>
                <w:sz w:val="24"/>
              </w:rPr>
              <w:t>仅限需要留样的单位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restart"/>
            <w:tcBorders>
              <w:top w:val="single" w:color="auto" w:sz="4" w:space="0"/>
              <w:left w:val="single" w:color="auto" w:sz="4" w:space="0"/>
              <w:right w:val="single" w:color="auto" w:sz="4" w:space="0"/>
            </w:tcBorders>
            <w:vAlign w:val="center"/>
          </w:tcPr>
          <w:p>
            <w:pPr>
              <w:spacing w:line="320" w:lineRule="exact"/>
              <w:rPr>
                <w:rFonts w:ascii="宋体" w:hAnsi="宋体"/>
                <w:b/>
                <w:color w:val="000000"/>
                <w:sz w:val="24"/>
              </w:rPr>
            </w:pPr>
            <w:r>
              <w:rPr>
                <w:rFonts w:hint="eastAsia" w:ascii="宋体" w:hAnsi="宋体"/>
                <w:b/>
                <w:color w:val="000000"/>
                <w:sz w:val="24"/>
              </w:rPr>
              <w:t>专间</w:t>
            </w:r>
          </w:p>
          <w:p>
            <w:pPr>
              <w:spacing w:line="320" w:lineRule="exact"/>
              <w:rPr>
                <w:rFonts w:ascii="宋体" w:hAnsi="宋体"/>
                <w:b/>
                <w:color w:val="000000"/>
                <w:sz w:val="24"/>
              </w:rPr>
            </w:pPr>
            <w:r>
              <w:rPr>
                <w:rFonts w:hint="eastAsia" w:ascii="宋体" w:hAnsi="宋体"/>
                <w:b/>
                <w:color w:val="000000"/>
                <w:sz w:val="24"/>
              </w:rPr>
              <w:t>管理</w:t>
            </w:r>
          </w:p>
        </w:tc>
        <w:tc>
          <w:tcPr>
            <w:tcW w:w="1017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olor w:val="000000"/>
                <w:sz w:val="24"/>
              </w:rPr>
            </w:pPr>
            <w:r>
              <w:rPr>
                <w:rFonts w:hint="eastAsia" w:ascii="宋体" w:hAnsi="宋体"/>
                <w:color w:val="000000"/>
                <w:sz w:val="24"/>
              </w:rPr>
              <w:t>33</w:t>
            </w:r>
            <w:r>
              <w:rPr>
                <w:rFonts w:hint="eastAsia" w:ascii="宋体" w:hAnsi="宋体" w:cs="宋体"/>
                <w:b/>
                <w:bCs/>
                <w:color w:val="000000"/>
                <w:kern w:val="0"/>
                <w:sz w:val="24"/>
              </w:rPr>
              <w:t>◎</w:t>
            </w:r>
            <w:r>
              <w:rPr>
                <w:rFonts w:hint="eastAsia" w:ascii="宋体" w:hAnsi="宋体"/>
                <w:color w:val="000000"/>
                <w:sz w:val="24"/>
              </w:rPr>
              <w:t xml:space="preserve">专间有专用工用具，密闭食品传送窗、清洗池、空气消毒、冷藏设施，室内温度符合要求。 </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ascii="宋体" w:hAnsi="宋体"/>
                <w:b/>
                <w:color w:val="000000"/>
                <w:sz w:val="24"/>
              </w:rPr>
            </w:pPr>
            <w:r>
              <w:rPr>
                <w:rFonts w:hint="eastAsia" w:ascii="宋体" w:hAnsi="宋体"/>
                <w:b/>
                <w:color w:val="000000"/>
                <w:sz w:val="24"/>
              </w:rPr>
              <w:t>2</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8" w:type="dxa"/>
            <w:vMerge w:val="continue"/>
            <w:tcBorders>
              <w:left w:val="single" w:color="auto" w:sz="4" w:space="0"/>
              <w:bottom w:val="single" w:color="auto" w:sz="4" w:space="0"/>
              <w:right w:val="single" w:color="auto" w:sz="4" w:space="0"/>
            </w:tcBorders>
            <w:vAlign w:val="center"/>
          </w:tcPr>
          <w:p>
            <w:pPr>
              <w:spacing w:line="320" w:lineRule="exact"/>
              <w:rPr>
                <w:rFonts w:ascii="宋体" w:hAnsi="宋体"/>
                <w:b/>
                <w:color w:val="000000"/>
                <w:sz w:val="24"/>
              </w:rPr>
            </w:pPr>
          </w:p>
        </w:tc>
        <w:tc>
          <w:tcPr>
            <w:tcW w:w="1017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仿宋_GB2312"/>
                <w:color w:val="000000"/>
                <w:kern w:val="0"/>
                <w:sz w:val="24"/>
              </w:rPr>
            </w:pPr>
            <w:r>
              <w:rPr>
                <w:rFonts w:hint="eastAsia" w:ascii="宋体" w:hAnsi="宋体" w:cs="宋体"/>
                <w:kern w:val="0"/>
                <w:sz w:val="24"/>
              </w:rPr>
              <w:t>34</w:t>
            </w:r>
            <w:r>
              <w:rPr>
                <w:rFonts w:hint="eastAsia" w:ascii="宋体" w:hAnsi="宋体" w:cs="宋体"/>
                <w:b/>
                <w:bCs/>
                <w:color w:val="000000"/>
                <w:kern w:val="0"/>
                <w:sz w:val="24"/>
              </w:rPr>
              <w:t>◎</w:t>
            </w:r>
            <w:r>
              <w:rPr>
                <w:rFonts w:hint="eastAsia" w:ascii="宋体" w:hAnsi="宋体" w:cs="宋体"/>
                <w:kern w:val="0"/>
                <w:sz w:val="24"/>
                <w:lang w:val="zh-CN"/>
              </w:rPr>
              <w:t>专间入口处设有正常使用的洗手、干手、消毒、更衣的</w:t>
            </w:r>
            <w:r>
              <w:rPr>
                <w:rFonts w:hint="eastAsia" w:ascii="宋体" w:hAnsi="宋体"/>
                <w:color w:val="000000"/>
                <w:sz w:val="24"/>
              </w:rPr>
              <w:t>预进</w:t>
            </w:r>
            <w:r>
              <w:rPr>
                <w:rFonts w:hint="eastAsia" w:ascii="宋体" w:hAnsi="宋体" w:cs="宋体"/>
                <w:kern w:val="0"/>
                <w:sz w:val="24"/>
                <w:lang w:val="zh-CN"/>
              </w:rPr>
              <w:t>设施。</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hint="eastAsia" w:ascii="宋体" w:hAnsi="宋体"/>
                <w:b/>
                <w:color w:val="000000"/>
                <w:sz w:val="24"/>
              </w:rPr>
            </w:pPr>
            <w:r>
              <w:rPr>
                <w:rFonts w:hint="eastAsia" w:ascii="宋体" w:hAnsi="宋体"/>
                <w:b/>
                <w:color w:val="000000"/>
                <w:sz w:val="24"/>
              </w:rPr>
              <w:t>2</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bottom w:val="single" w:color="auto" w:sz="4" w:space="0"/>
              <w:right w:val="single" w:color="auto" w:sz="4" w:space="0"/>
            </w:tcBorders>
            <w:vAlign w:val="center"/>
          </w:tcPr>
          <w:p>
            <w:pPr>
              <w:spacing w:line="320" w:lineRule="exact"/>
              <w:rPr>
                <w:rFonts w:ascii="宋体" w:hAnsi="宋体"/>
                <w:b/>
                <w:color w:val="000000"/>
                <w:sz w:val="24"/>
              </w:rPr>
            </w:pPr>
          </w:p>
        </w:tc>
        <w:tc>
          <w:tcPr>
            <w:tcW w:w="1017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olor w:val="000000"/>
                <w:sz w:val="24"/>
              </w:rPr>
            </w:pPr>
            <w:r>
              <w:rPr>
                <w:rFonts w:hint="eastAsia" w:ascii="宋体" w:hAnsi="宋体" w:cs="仿宋_GB2312"/>
                <w:color w:val="000000"/>
                <w:kern w:val="0"/>
                <w:sz w:val="24"/>
              </w:rPr>
              <w:t>35</w:t>
            </w:r>
            <w:r>
              <w:rPr>
                <w:rFonts w:hint="eastAsia" w:ascii="宋体" w:hAnsi="宋体" w:cs="宋体"/>
                <w:b/>
                <w:bCs/>
                <w:color w:val="000000"/>
                <w:kern w:val="0"/>
                <w:sz w:val="24"/>
              </w:rPr>
              <w:t>◎</w:t>
            </w:r>
            <w:r>
              <w:rPr>
                <w:rFonts w:hint="eastAsia" w:ascii="宋体" w:hAnsi="宋体" w:cs="仿宋_GB2312"/>
                <w:color w:val="000000"/>
                <w:kern w:val="0"/>
                <w:sz w:val="24"/>
              </w:rPr>
              <w:t>专间内清洁无杂物、无污物，未经过清洗的食品原料不得入内，加工即食食品专用的切配工具均经过有效消</w:t>
            </w:r>
            <w:r>
              <w:rPr>
                <w:rFonts w:hint="eastAsia" w:ascii="宋体" w:hAnsi="宋体"/>
                <w:color w:val="000000"/>
                <w:sz w:val="24"/>
              </w:rPr>
              <w:t xml:space="preserve">毒，每天专间进行空气消毒  </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hint="eastAsia" w:ascii="宋体" w:hAnsi="宋体"/>
                <w:b/>
                <w:color w:val="000000"/>
                <w:sz w:val="24"/>
              </w:rPr>
            </w:pPr>
            <w:r>
              <w:rPr>
                <w:rFonts w:hint="eastAsia" w:ascii="宋体" w:hAnsi="宋体"/>
                <w:b/>
                <w:color w:val="000000"/>
                <w:sz w:val="24"/>
              </w:rPr>
              <w:t>2</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tcBorders>
              <w:top w:val="single" w:color="auto" w:sz="4" w:space="0"/>
              <w:left w:val="single" w:color="auto" w:sz="4" w:space="0"/>
              <w:right w:val="single" w:color="auto" w:sz="4" w:space="0"/>
            </w:tcBorders>
            <w:vAlign w:val="center"/>
          </w:tcPr>
          <w:p>
            <w:pPr>
              <w:spacing w:line="320" w:lineRule="exact"/>
              <w:jc w:val="center"/>
              <w:rPr>
                <w:rFonts w:ascii="宋体" w:hAnsi="宋体"/>
                <w:b/>
                <w:color w:val="000000"/>
                <w:sz w:val="24"/>
              </w:rPr>
            </w:pPr>
            <w:r>
              <w:rPr>
                <w:rFonts w:hint="eastAsia" w:ascii="宋体" w:hAnsi="宋体"/>
                <w:b/>
                <w:color w:val="000000"/>
                <w:sz w:val="24"/>
              </w:rPr>
              <w:t>专用操作场所</w:t>
            </w:r>
          </w:p>
        </w:tc>
        <w:tc>
          <w:tcPr>
            <w:tcW w:w="1017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rPr>
            </w:pPr>
            <w:r>
              <w:rPr>
                <w:rFonts w:hint="eastAsia" w:ascii="宋体" w:hAnsi="宋体" w:cs="宋体"/>
                <w:kern w:val="0"/>
                <w:sz w:val="24"/>
              </w:rPr>
              <w:t>36</w:t>
            </w:r>
            <w:r>
              <w:rPr>
                <w:rFonts w:hint="eastAsia" w:ascii="宋体" w:hAnsi="宋体" w:cs="宋体"/>
                <w:b/>
                <w:bCs/>
                <w:color w:val="000000"/>
                <w:kern w:val="0"/>
                <w:sz w:val="24"/>
              </w:rPr>
              <w:t>◎</w:t>
            </w:r>
            <w:r>
              <w:rPr>
                <w:rFonts w:hint="eastAsia" w:ascii="宋体" w:hAnsi="宋体" w:cs="宋体"/>
                <w:kern w:val="0"/>
                <w:sz w:val="24"/>
                <w:lang w:val="zh-CN"/>
              </w:rPr>
              <w:t>糕点类食品、自制饮品制作和当场分餐食用的经营者，分别设置相应的专用操作场所。</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hint="eastAsia" w:ascii="宋体" w:hAnsi="宋体"/>
                <w:b/>
                <w:color w:val="000000"/>
                <w:sz w:val="24"/>
              </w:rPr>
            </w:pPr>
          </w:p>
          <w:p>
            <w:pPr>
              <w:spacing w:line="320" w:lineRule="exact"/>
              <w:ind w:firstLine="482"/>
              <w:jc w:val="right"/>
              <w:rPr>
                <w:rFonts w:ascii="宋体" w:hAnsi="宋体"/>
                <w:b/>
                <w:color w:val="000000"/>
                <w:sz w:val="24"/>
              </w:rPr>
            </w:pPr>
            <w:r>
              <w:rPr>
                <w:rFonts w:hint="eastAsia" w:ascii="宋体" w:hAnsi="宋体"/>
                <w:b/>
                <w:color w:val="000000"/>
                <w:sz w:val="24"/>
              </w:rPr>
              <w:t>2</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b/>
                <w:color w:val="000000"/>
                <w:sz w:val="24"/>
              </w:rPr>
            </w:pPr>
            <w:r>
              <w:rPr>
                <w:rFonts w:hint="eastAsia" w:ascii="宋体" w:hAnsi="宋体"/>
                <w:b/>
                <w:color w:val="000000"/>
                <w:sz w:val="24"/>
              </w:rPr>
              <w:t>餐具消毒</w:t>
            </w:r>
          </w:p>
        </w:tc>
        <w:tc>
          <w:tcPr>
            <w:tcW w:w="1017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olor w:val="000000"/>
                <w:sz w:val="24"/>
              </w:rPr>
            </w:pPr>
            <w:r>
              <w:rPr>
                <w:rFonts w:hint="eastAsia" w:ascii="宋体" w:hAnsi="宋体"/>
                <w:color w:val="000000"/>
                <w:sz w:val="24"/>
              </w:rPr>
              <w:t>37.餐具、食品用工具及盛放直接入口食品的容器均经有效消毒，保洁</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ascii="宋体" w:hAnsi="宋体"/>
                <w:b/>
                <w:color w:val="000000"/>
                <w:sz w:val="24"/>
              </w:rPr>
            </w:pPr>
            <w:r>
              <w:rPr>
                <w:rFonts w:hint="eastAsia" w:ascii="宋体" w:hAnsi="宋体"/>
                <w:b/>
                <w:color w:val="000000"/>
                <w:sz w:val="24"/>
              </w:rPr>
              <w:t>2</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right w:val="single" w:color="auto" w:sz="4" w:space="0"/>
            </w:tcBorders>
            <w:vAlign w:val="center"/>
          </w:tcPr>
          <w:p>
            <w:pPr>
              <w:spacing w:line="320" w:lineRule="exact"/>
              <w:jc w:val="center"/>
              <w:rPr>
                <w:rFonts w:ascii="宋体" w:hAnsi="宋体"/>
                <w:b/>
                <w:color w:val="000000"/>
                <w:sz w:val="24"/>
              </w:rPr>
            </w:pPr>
          </w:p>
        </w:tc>
        <w:tc>
          <w:tcPr>
            <w:tcW w:w="1017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olor w:val="000000"/>
                <w:sz w:val="24"/>
              </w:rPr>
            </w:pPr>
            <w:r>
              <w:rPr>
                <w:rFonts w:hint="eastAsia" w:ascii="宋体" w:hAnsi="宋体" w:cs="仿宋_GB2312"/>
                <w:color w:val="000000"/>
                <w:kern w:val="0"/>
                <w:sz w:val="24"/>
              </w:rPr>
              <w:t>38.集中消毒餐具、饮具的采购符合要求。</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ascii="宋体" w:hAnsi="宋体"/>
                <w:b/>
                <w:color w:val="000000"/>
                <w:sz w:val="24"/>
              </w:rPr>
            </w:pPr>
            <w:r>
              <w:rPr>
                <w:rFonts w:hint="eastAsia" w:ascii="宋体" w:hAnsi="宋体"/>
                <w:b/>
                <w:color w:val="000000"/>
                <w:sz w:val="24"/>
              </w:rPr>
              <w:t>1</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b/>
                <w:color w:val="000000"/>
                <w:sz w:val="24"/>
              </w:rPr>
            </w:pPr>
          </w:p>
        </w:tc>
        <w:tc>
          <w:tcPr>
            <w:tcW w:w="1017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仿宋_GB2312"/>
                <w:color w:val="000000"/>
                <w:kern w:val="0"/>
                <w:sz w:val="24"/>
              </w:rPr>
            </w:pPr>
            <w:r>
              <w:rPr>
                <w:rFonts w:hint="eastAsia" w:ascii="宋体" w:hAnsi="宋体" w:cs="仿宋_GB2312"/>
                <w:color w:val="000000"/>
                <w:kern w:val="0"/>
                <w:sz w:val="24"/>
              </w:rPr>
              <w:t>39.具有在相应数量的餐饮具的清洗、消毒、保洁设备设施，并运转正常。</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ascii="宋体" w:hAnsi="宋体"/>
                <w:b/>
                <w:color w:val="000000"/>
                <w:sz w:val="24"/>
              </w:rPr>
            </w:pPr>
            <w:r>
              <w:rPr>
                <w:rFonts w:hint="eastAsia" w:ascii="宋体" w:hAnsi="宋体"/>
                <w:b/>
                <w:color w:val="000000"/>
                <w:sz w:val="24"/>
              </w:rPr>
              <w:t>2</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restart"/>
            <w:tcBorders>
              <w:top w:val="single" w:color="auto" w:sz="4" w:space="0"/>
              <w:left w:val="single" w:color="auto" w:sz="4" w:space="0"/>
              <w:right w:val="single" w:color="auto" w:sz="4" w:space="0"/>
            </w:tcBorders>
            <w:vAlign w:val="center"/>
          </w:tcPr>
          <w:p>
            <w:pPr>
              <w:spacing w:line="320" w:lineRule="exact"/>
              <w:ind w:left="-187" w:leftChars="-89"/>
              <w:jc w:val="center"/>
              <w:rPr>
                <w:rFonts w:ascii="宋体" w:hAnsi="宋体"/>
                <w:b/>
                <w:color w:val="000000"/>
                <w:sz w:val="24"/>
              </w:rPr>
            </w:pPr>
            <w:r>
              <w:rPr>
                <w:rFonts w:hint="eastAsia" w:ascii="宋体" w:hAnsi="宋体" w:cs="仿宋_GB2312"/>
                <w:b/>
                <w:color w:val="000000"/>
                <w:kern w:val="0"/>
                <w:sz w:val="24"/>
              </w:rPr>
              <w:t xml:space="preserve"> 中央  厨房、    集体用餐配送单位</w:t>
            </w:r>
          </w:p>
        </w:tc>
        <w:tc>
          <w:tcPr>
            <w:tcW w:w="10174" w:type="dxa"/>
            <w:tcBorders>
              <w:top w:val="single" w:color="auto" w:sz="4" w:space="0"/>
              <w:left w:val="single" w:color="auto" w:sz="4" w:space="0"/>
              <w:bottom w:val="single" w:color="auto" w:sz="4" w:space="0"/>
              <w:right w:val="single" w:color="auto" w:sz="4" w:space="0"/>
            </w:tcBorders>
          </w:tcPr>
          <w:p>
            <w:pPr>
              <w:spacing w:line="320" w:lineRule="exact"/>
              <w:rPr>
                <w:rFonts w:ascii="黑体" w:eastAsia="黑体"/>
                <w:color w:val="000000"/>
                <w:sz w:val="24"/>
              </w:rPr>
            </w:pPr>
            <w:r>
              <w:rPr>
                <w:rFonts w:hint="eastAsia" w:ascii="宋体" w:hAnsi="宋体"/>
                <w:color w:val="000000"/>
                <w:spacing w:val="-4"/>
                <w:sz w:val="24"/>
              </w:rPr>
              <w:t>40</w:t>
            </w:r>
            <w:r>
              <w:rPr>
                <w:rFonts w:hint="eastAsia" w:ascii="宋体" w:hAnsi="宋体" w:cs="宋体"/>
                <w:b/>
                <w:bCs/>
                <w:color w:val="000000"/>
                <w:kern w:val="0"/>
                <w:sz w:val="24"/>
              </w:rPr>
              <w:t>◎</w:t>
            </w:r>
            <w:r>
              <w:rPr>
                <w:rFonts w:hint="eastAsia" w:ascii="宋体" w:hAnsi="宋体"/>
                <w:color w:val="000000"/>
                <w:spacing w:val="-4"/>
                <w:sz w:val="24"/>
              </w:rPr>
              <w:t>餐饮配送、中央厨房、网络送餐、配送学生餐到教室等</w:t>
            </w:r>
            <w:r>
              <w:rPr>
                <w:rFonts w:hint="eastAsia" w:ascii="宋体" w:hAnsi="宋体" w:cs="仿宋_GB2312"/>
                <w:color w:val="000000"/>
                <w:kern w:val="0"/>
                <w:sz w:val="24"/>
              </w:rPr>
              <w:t>配送食品的储存、运输应符合要求，前三类餐饮服务提供者另需要规范标识送餐食品外包装，配备适应食品安全运输要求的冷藏或热藏贮存设施。</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ascii="宋体" w:hAnsi="宋体"/>
                <w:b/>
                <w:color w:val="000000"/>
                <w:sz w:val="24"/>
              </w:rPr>
            </w:pPr>
            <w:r>
              <w:rPr>
                <w:rFonts w:hint="eastAsia" w:ascii="宋体" w:hAnsi="宋体"/>
                <w:b/>
                <w:color w:val="000000"/>
                <w:sz w:val="24"/>
              </w:rPr>
              <w:t>2</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bottom w:val="single" w:color="auto" w:sz="4" w:space="0"/>
              <w:right w:val="single" w:color="auto" w:sz="4" w:space="0"/>
            </w:tcBorders>
            <w:vAlign w:val="center"/>
          </w:tcPr>
          <w:p>
            <w:pPr>
              <w:spacing w:line="320" w:lineRule="exact"/>
              <w:ind w:left="-199" w:leftChars="-95" w:right="-86" w:rightChars="-41" w:firstLine="358" w:firstLineChars="149"/>
              <w:rPr>
                <w:rFonts w:ascii="宋体" w:hAnsi="宋体"/>
                <w:b/>
                <w:color w:val="000000"/>
                <w:sz w:val="24"/>
              </w:rPr>
            </w:pPr>
          </w:p>
        </w:tc>
        <w:tc>
          <w:tcPr>
            <w:tcW w:w="101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20" w:right="20"/>
              <w:rPr>
                <w:rFonts w:ascii="宋体" w:hAnsi="宋体"/>
                <w:color w:val="000000"/>
                <w:sz w:val="24"/>
              </w:rPr>
            </w:pPr>
            <w:r>
              <w:rPr>
                <w:rFonts w:hint="eastAsia" w:ascii="宋体" w:hAnsi="宋体" w:cs="仿宋_GB2312"/>
                <w:color w:val="000000"/>
                <w:kern w:val="0"/>
                <w:sz w:val="24"/>
              </w:rPr>
              <w:t>41</w:t>
            </w:r>
            <w:r>
              <w:rPr>
                <w:rFonts w:hint="eastAsia" w:ascii="宋体" w:hAnsi="宋体" w:cs="宋体"/>
                <w:b/>
                <w:bCs/>
                <w:color w:val="000000"/>
                <w:kern w:val="0"/>
                <w:sz w:val="24"/>
              </w:rPr>
              <w:t>◎</w:t>
            </w:r>
            <w:r>
              <w:rPr>
                <w:rFonts w:hint="eastAsia" w:ascii="宋体" w:hAnsi="宋体" w:cs="仿宋_GB2312"/>
                <w:color w:val="000000"/>
                <w:kern w:val="0"/>
                <w:sz w:val="24"/>
              </w:rPr>
              <w:t>实验室设备设施正常运行，</w:t>
            </w:r>
            <w:r>
              <w:rPr>
                <w:rFonts w:hint="eastAsia" w:ascii="宋体" w:hAnsi="宋体"/>
                <w:sz w:val="24"/>
              </w:rPr>
              <w:t>配备相应的检验设施和检验人员</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ascii="宋体" w:hAnsi="宋体"/>
                <w:b/>
                <w:color w:val="000000"/>
                <w:sz w:val="24"/>
              </w:rPr>
            </w:pPr>
            <w:r>
              <w:rPr>
                <w:rFonts w:hint="eastAsia" w:ascii="宋体" w:hAnsi="宋体"/>
                <w:b/>
                <w:color w:val="000000"/>
                <w:sz w:val="24"/>
              </w:rPr>
              <w:t>2</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restart"/>
            <w:tcBorders>
              <w:top w:val="single" w:color="auto" w:sz="4" w:space="0"/>
              <w:left w:val="single" w:color="auto" w:sz="4" w:space="0"/>
              <w:right w:val="single" w:color="auto" w:sz="4" w:space="0"/>
            </w:tcBorders>
            <w:vAlign w:val="center"/>
          </w:tcPr>
          <w:p>
            <w:pPr>
              <w:spacing w:line="320" w:lineRule="exact"/>
              <w:ind w:right="-86" w:rightChars="-41"/>
              <w:jc w:val="left"/>
              <w:rPr>
                <w:rFonts w:ascii="宋体" w:hAnsi="宋体"/>
                <w:b/>
                <w:color w:val="000000"/>
                <w:sz w:val="24"/>
              </w:rPr>
            </w:pPr>
            <w:r>
              <w:rPr>
                <w:rFonts w:hint="eastAsia" w:ascii="宋体" w:hAnsi="宋体" w:cs="宋体"/>
                <w:b/>
                <w:bCs/>
                <w:color w:val="000000"/>
                <w:kern w:val="0"/>
                <w:sz w:val="24"/>
              </w:rPr>
              <w:t>网络订餐</w:t>
            </w:r>
          </w:p>
        </w:tc>
        <w:tc>
          <w:tcPr>
            <w:tcW w:w="101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20" w:right="20"/>
              <w:rPr>
                <w:rFonts w:ascii="宋体" w:hAnsi="宋体" w:cs="仿宋_GB2312"/>
                <w:color w:val="000000"/>
                <w:kern w:val="0"/>
                <w:sz w:val="24"/>
              </w:rPr>
            </w:pPr>
            <w:r>
              <w:rPr>
                <w:rFonts w:hint="eastAsia" w:ascii="宋体" w:hAnsi="宋体" w:cs="仿宋"/>
                <w:color w:val="000000"/>
                <w:kern w:val="0"/>
                <w:sz w:val="24"/>
              </w:rPr>
              <w:t>42</w:t>
            </w:r>
            <w:r>
              <w:rPr>
                <w:rFonts w:hint="eastAsia" w:ascii="宋体" w:hAnsi="宋体" w:cs="宋体"/>
                <w:b/>
                <w:bCs/>
                <w:color w:val="000000"/>
                <w:kern w:val="0"/>
                <w:sz w:val="24"/>
              </w:rPr>
              <w:t>◎</w:t>
            </w:r>
            <w:r>
              <w:rPr>
                <w:rFonts w:hint="eastAsia" w:ascii="宋体" w:hAnsi="宋体" w:cs="仿宋"/>
                <w:color w:val="000000"/>
                <w:kern w:val="0"/>
                <w:sz w:val="24"/>
              </w:rPr>
              <w:t>从事网络订餐服务的经营者在其</w:t>
            </w:r>
            <w:r>
              <w:rPr>
                <w:rFonts w:ascii="宋体" w:hAnsi="宋体" w:cs="仿宋"/>
                <w:color w:val="000000"/>
                <w:kern w:val="0"/>
                <w:sz w:val="24"/>
              </w:rPr>
              <w:t>经营活动主页面显著位置</w:t>
            </w:r>
            <w:r>
              <w:rPr>
                <w:rFonts w:hint="eastAsia" w:ascii="宋体" w:hAnsi="宋体" w:cs="仿宋"/>
                <w:color w:val="000000"/>
                <w:kern w:val="0"/>
                <w:sz w:val="24"/>
              </w:rPr>
              <w:t>公示其食品经营许可证、食品安全量化等级等信息。</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ascii="宋体" w:hAnsi="宋体"/>
                <w:b/>
                <w:color w:val="000000"/>
                <w:sz w:val="24"/>
              </w:rPr>
            </w:pPr>
            <w:r>
              <w:rPr>
                <w:rFonts w:hint="eastAsia" w:ascii="宋体" w:hAnsi="宋体"/>
                <w:b/>
                <w:color w:val="000000"/>
                <w:sz w:val="24"/>
              </w:rPr>
              <w:t>1</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bottom w:val="single" w:color="auto" w:sz="4" w:space="0"/>
              <w:right w:val="single" w:color="auto" w:sz="4" w:space="0"/>
            </w:tcBorders>
            <w:vAlign w:val="center"/>
          </w:tcPr>
          <w:p>
            <w:pPr>
              <w:spacing w:line="320" w:lineRule="exact"/>
              <w:ind w:left="-199" w:leftChars="-95" w:right="-86" w:rightChars="-41" w:firstLine="358" w:firstLineChars="149"/>
              <w:rPr>
                <w:rFonts w:ascii="宋体" w:hAnsi="宋体"/>
                <w:b/>
                <w:color w:val="000000"/>
                <w:sz w:val="24"/>
              </w:rPr>
            </w:pPr>
          </w:p>
        </w:tc>
        <w:tc>
          <w:tcPr>
            <w:tcW w:w="101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20" w:right="20"/>
              <w:rPr>
                <w:rFonts w:ascii="宋体" w:hAnsi="宋体"/>
                <w:color w:val="000000"/>
                <w:sz w:val="24"/>
              </w:rPr>
            </w:pPr>
            <w:r>
              <w:rPr>
                <w:rFonts w:hint="eastAsia" w:ascii="宋体" w:hAnsi="宋体" w:cs="仿宋"/>
                <w:color w:val="000000"/>
                <w:kern w:val="0"/>
                <w:sz w:val="24"/>
              </w:rPr>
              <w:t>43</w:t>
            </w:r>
            <w:r>
              <w:rPr>
                <w:rFonts w:hint="eastAsia" w:ascii="宋体" w:hAnsi="宋体" w:cs="宋体"/>
                <w:b/>
                <w:bCs/>
                <w:color w:val="000000"/>
                <w:kern w:val="0"/>
                <w:sz w:val="24"/>
              </w:rPr>
              <w:t>◎</w:t>
            </w:r>
            <w:r>
              <w:rPr>
                <w:rFonts w:hint="eastAsia" w:ascii="宋体" w:hAnsi="宋体" w:cs="仿宋"/>
                <w:color w:val="000000"/>
                <w:kern w:val="0"/>
                <w:sz w:val="24"/>
              </w:rPr>
              <w:t>从事网络订餐服务的经营者采取保证食品安全的运输、配送措施，或者委托具备相应贮存、运输能力的企业运输、配送。</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ascii="宋体" w:hAnsi="宋体"/>
                <w:b/>
                <w:color w:val="000000"/>
                <w:sz w:val="24"/>
              </w:rPr>
            </w:pPr>
            <w:r>
              <w:rPr>
                <w:rFonts w:hint="eastAsia" w:ascii="宋体" w:hAnsi="宋体"/>
                <w:b/>
                <w:color w:val="000000"/>
                <w:sz w:val="24"/>
              </w:rPr>
              <w:t>2</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restart"/>
            <w:tcBorders>
              <w:top w:val="single" w:color="auto" w:sz="4" w:space="0"/>
              <w:left w:val="single" w:color="auto" w:sz="4" w:space="0"/>
              <w:right w:val="single" w:color="auto" w:sz="4" w:space="0"/>
            </w:tcBorders>
            <w:vAlign w:val="center"/>
          </w:tcPr>
          <w:p>
            <w:pPr>
              <w:spacing w:line="320" w:lineRule="exact"/>
              <w:ind w:left="-199" w:leftChars="-95" w:right="-86" w:rightChars="-41" w:firstLine="358" w:firstLineChars="149"/>
              <w:rPr>
                <w:rFonts w:ascii="宋体" w:hAnsi="宋体"/>
                <w:b/>
                <w:color w:val="000000"/>
                <w:sz w:val="24"/>
              </w:rPr>
            </w:pPr>
            <w:r>
              <w:rPr>
                <w:rFonts w:hint="eastAsia" w:ascii="宋体" w:hAnsi="宋体"/>
                <w:b/>
                <w:color w:val="000000"/>
                <w:sz w:val="24"/>
              </w:rPr>
              <w:t>其它</w:t>
            </w:r>
          </w:p>
        </w:tc>
        <w:tc>
          <w:tcPr>
            <w:tcW w:w="101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20" w:right="20"/>
              <w:rPr>
                <w:rFonts w:hint="eastAsia" w:ascii="宋体" w:hAnsi="宋体"/>
                <w:color w:val="000000"/>
                <w:sz w:val="24"/>
              </w:rPr>
            </w:pPr>
            <w:r>
              <w:rPr>
                <w:rFonts w:hint="eastAsia" w:ascii="宋体" w:hAnsi="宋体"/>
                <w:color w:val="000000"/>
                <w:sz w:val="24"/>
              </w:rPr>
              <w:t>44.</w:t>
            </w:r>
            <w:r>
              <w:rPr>
                <w:rFonts w:hint="eastAsia" w:ascii="宋体" w:hAnsi="宋体" w:cs="仿宋_GB2312"/>
                <w:color w:val="000000"/>
                <w:kern w:val="0"/>
                <w:szCs w:val="21"/>
              </w:rPr>
              <w:t>造成重大食品安全事故和影响较大的食品安全不良社会影响</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hint="eastAsia" w:ascii="宋体" w:hAnsi="宋体"/>
                <w:b/>
                <w:color w:val="000000"/>
                <w:sz w:val="24"/>
              </w:rPr>
            </w:pPr>
            <w:r>
              <w:rPr>
                <w:rFonts w:hint="eastAsia" w:ascii="宋体" w:hAnsi="宋体"/>
                <w:b/>
                <w:color w:val="000000"/>
                <w:sz w:val="24"/>
              </w:rPr>
              <w:t>20</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right w:val="single" w:color="auto" w:sz="4" w:space="0"/>
            </w:tcBorders>
            <w:vAlign w:val="center"/>
          </w:tcPr>
          <w:p>
            <w:pPr>
              <w:spacing w:line="320" w:lineRule="exact"/>
              <w:ind w:left="-199" w:leftChars="-95" w:right="-86" w:rightChars="-41" w:firstLine="357" w:firstLineChars="149"/>
              <w:rPr>
                <w:rFonts w:ascii="宋体" w:hAnsi="宋体"/>
                <w:color w:val="000000"/>
                <w:sz w:val="24"/>
              </w:rPr>
            </w:pPr>
          </w:p>
        </w:tc>
        <w:tc>
          <w:tcPr>
            <w:tcW w:w="101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20" w:right="20"/>
              <w:rPr>
                <w:rFonts w:ascii="宋体" w:hAnsi="宋体"/>
                <w:color w:val="000000"/>
                <w:sz w:val="24"/>
              </w:rPr>
            </w:pPr>
            <w:r>
              <w:rPr>
                <w:rFonts w:hint="eastAsia" w:ascii="宋体" w:hAnsi="宋体"/>
                <w:color w:val="000000"/>
                <w:sz w:val="24"/>
              </w:rPr>
              <w:t>45.按要求处理废弃油脂和餐厨垃圾。</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hint="eastAsia" w:ascii="宋体" w:hAnsi="宋体"/>
                <w:b/>
                <w:color w:val="000000"/>
                <w:sz w:val="24"/>
              </w:rPr>
            </w:pPr>
            <w:r>
              <w:rPr>
                <w:rFonts w:hint="eastAsia" w:ascii="宋体" w:hAnsi="宋体"/>
                <w:b/>
                <w:color w:val="000000"/>
                <w:sz w:val="24"/>
              </w:rPr>
              <w:t>1</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8" w:type="dxa"/>
            <w:vMerge w:val="continue"/>
            <w:tcBorders>
              <w:left w:val="single" w:color="auto" w:sz="4" w:space="0"/>
              <w:right w:val="single" w:color="auto" w:sz="4" w:space="0"/>
            </w:tcBorders>
            <w:vAlign w:val="center"/>
          </w:tcPr>
          <w:p>
            <w:pPr>
              <w:spacing w:line="320" w:lineRule="exact"/>
              <w:ind w:left="-199" w:leftChars="-95" w:right="-86" w:rightChars="-41" w:firstLine="357" w:firstLineChars="149"/>
              <w:rPr>
                <w:rFonts w:ascii="宋体" w:hAnsi="宋体"/>
                <w:color w:val="000000"/>
                <w:sz w:val="24"/>
              </w:rPr>
            </w:pPr>
          </w:p>
        </w:tc>
        <w:tc>
          <w:tcPr>
            <w:tcW w:w="101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20" w:right="20"/>
              <w:rPr>
                <w:rFonts w:ascii="宋体" w:hAnsi="宋体"/>
                <w:color w:val="000000"/>
                <w:sz w:val="24"/>
              </w:rPr>
            </w:pPr>
            <w:r>
              <w:rPr>
                <w:rFonts w:hint="eastAsia" w:ascii="宋体" w:hAnsi="宋体"/>
                <w:color w:val="000000"/>
                <w:sz w:val="24"/>
              </w:rPr>
              <w:t>46.遵守控烟要求。</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hint="eastAsia" w:ascii="宋体" w:hAnsi="宋体"/>
                <w:b/>
                <w:color w:val="000000"/>
                <w:sz w:val="24"/>
              </w:rPr>
            </w:pPr>
            <w:r>
              <w:rPr>
                <w:rFonts w:hint="eastAsia" w:ascii="宋体" w:hAnsi="宋体"/>
                <w:b/>
                <w:color w:val="000000"/>
                <w:sz w:val="24"/>
              </w:rPr>
              <w:t>1</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b/>
                <w:color w:val="000000"/>
                <w:sz w:val="24"/>
              </w:rPr>
            </w:pPr>
            <w:r>
              <w:rPr>
                <w:rFonts w:hint="eastAsia" w:ascii="宋体" w:hAnsi="宋体"/>
                <w:bCs/>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48" w:type="dxa"/>
            <w:vMerge w:val="continue"/>
            <w:tcBorders>
              <w:left w:val="single" w:color="auto" w:sz="4" w:space="0"/>
              <w:right w:val="single" w:color="auto" w:sz="4" w:space="0"/>
            </w:tcBorders>
            <w:vAlign w:val="center"/>
          </w:tcPr>
          <w:p>
            <w:pPr>
              <w:spacing w:line="320" w:lineRule="exact"/>
              <w:ind w:left="-199" w:leftChars="-95" w:right="-86" w:rightChars="-41" w:firstLine="357" w:firstLineChars="149"/>
              <w:rPr>
                <w:rFonts w:ascii="宋体" w:hAnsi="宋体"/>
                <w:color w:val="000000"/>
                <w:sz w:val="24"/>
              </w:rPr>
            </w:pPr>
          </w:p>
        </w:tc>
        <w:tc>
          <w:tcPr>
            <w:tcW w:w="101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20" w:right="20"/>
              <w:rPr>
                <w:rFonts w:hint="eastAsia" w:ascii="宋体" w:hAnsi="宋体"/>
                <w:color w:val="000000"/>
                <w:sz w:val="24"/>
              </w:rPr>
            </w:pPr>
            <w:r>
              <w:rPr>
                <w:rFonts w:hint="eastAsia" w:ascii="宋体" w:hAnsi="宋体"/>
                <w:color w:val="000000"/>
                <w:sz w:val="24"/>
              </w:rPr>
              <w:t>47.安全生产告告知书已张贴。</w:t>
            </w: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hint="eastAsia" w:ascii="宋体" w:hAnsi="宋体"/>
                <w:b/>
                <w:color w:val="000000"/>
                <w:sz w:val="24"/>
              </w:rPr>
            </w:pPr>
            <w:r>
              <w:rPr>
                <w:rFonts w:hint="eastAsia" w:ascii="宋体" w:hAnsi="宋体"/>
                <w:b/>
                <w:color w:val="000000"/>
                <w:sz w:val="24"/>
              </w:rPr>
              <w:t>1</w:t>
            </w: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bottom w:val="single" w:color="auto" w:sz="4" w:space="0"/>
              <w:right w:val="single" w:color="auto" w:sz="4" w:space="0"/>
            </w:tcBorders>
            <w:vAlign w:val="center"/>
          </w:tcPr>
          <w:p>
            <w:pPr>
              <w:spacing w:line="320" w:lineRule="exact"/>
              <w:ind w:left="-199" w:leftChars="-95" w:right="-86" w:rightChars="-41" w:firstLine="357" w:firstLineChars="149"/>
              <w:rPr>
                <w:rFonts w:ascii="宋体" w:hAnsi="宋体"/>
                <w:color w:val="000000"/>
                <w:sz w:val="24"/>
              </w:rPr>
            </w:pPr>
          </w:p>
        </w:tc>
        <w:tc>
          <w:tcPr>
            <w:tcW w:w="101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20" w:right="20"/>
              <w:rPr>
                <w:rFonts w:hint="eastAsia" w:ascii="宋体" w:hAnsi="宋体"/>
                <w:color w:val="000000"/>
                <w:sz w:val="24"/>
              </w:rPr>
            </w:pPr>
          </w:p>
        </w:tc>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ascii="宋体" w:hAnsi="宋体"/>
                <w:b/>
                <w:color w:val="000000"/>
                <w:sz w:val="24"/>
              </w:rPr>
            </w:pPr>
          </w:p>
        </w:tc>
        <w:tc>
          <w:tcPr>
            <w:tcW w:w="1138"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002"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b/>
                <w:color w:val="000000"/>
                <w:sz w:val="24"/>
              </w:rPr>
            </w:pPr>
          </w:p>
        </w:tc>
      </w:tr>
    </w:tbl>
    <w:p>
      <w:pPr>
        <w:spacing w:line="240" w:lineRule="exact"/>
        <w:ind w:right="-540" w:rightChars="-257"/>
        <w:rPr>
          <w:rFonts w:ascii="华文中宋" w:hAnsi="华文中宋" w:eastAsia="华文中宋"/>
          <w:b/>
          <w:color w:val="000000"/>
          <w:spacing w:val="-10"/>
          <w:sz w:val="36"/>
          <w:szCs w:val="36"/>
        </w:rPr>
      </w:pPr>
    </w:p>
    <w:p>
      <w:pPr>
        <w:spacing w:line="320" w:lineRule="exact"/>
        <w:ind w:right="-1079" w:rightChars="-514"/>
        <w:rPr>
          <w:rFonts w:hint="eastAsia" w:ascii="仿宋" w:hAnsi="仿宋" w:cs="宋体"/>
          <w:color w:val="000000"/>
          <w:kern w:val="0"/>
          <w:sz w:val="24"/>
        </w:rPr>
      </w:pPr>
      <w:r>
        <w:rPr>
          <w:rFonts w:hint="eastAsia" w:ascii="仿宋" w:hAnsi="仿宋"/>
          <w:b/>
          <w:bCs/>
          <w:color w:val="000000"/>
          <w:szCs w:val="32"/>
        </w:rPr>
        <w:t xml:space="preserve">注 </w:t>
      </w:r>
      <w:r>
        <w:rPr>
          <w:rFonts w:hint="eastAsia" w:ascii="仿宋" w:hAnsi="仿宋"/>
          <w:color w:val="000000"/>
          <w:szCs w:val="32"/>
        </w:rPr>
        <w:t>1.</w:t>
      </w:r>
      <w:r>
        <w:rPr>
          <w:rFonts w:hint="eastAsia" w:ascii="宋体" w:hAnsi="宋体"/>
          <w:color w:val="000000"/>
          <w:sz w:val="24"/>
        </w:rPr>
        <w:t>★为分值为20分的高风险项目，※为A级必备项，</w:t>
      </w:r>
      <w:r>
        <w:rPr>
          <w:rFonts w:hint="eastAsia" w:ascii="ˎ̥" w:hAnsi="ˎ̥" w:cs="Arial"/>
          <w:b/>
          <w:bCs/>
          <w:color w:val="000000"/>
          <w:kern w:val="0"/>
          <w:sz w:val="23"/>
          <w:szCs w:val="23"/>
        </w:rPr>
        <w:t>◎</w:t>
      </w:r>
      <w:r>
        <w:rPr>
          <w:rFonts w:hint="eastAsia" w:ascii="ˎ̥" w:hAnsi="ˎ̥" w:cs="Arial"/>
          <w:color w:val="000000"/>
          <w:kern w:val="0"/>
          <w:sz w:val="23"/>
          <w:szCs w:val="23"/>
        </w:rPr>
        <w:t>为依据不同类型或不同品种的餐饮单位可以</w:t>
      </w:r>
      <w:r>
        <w:rPr>
          <w:rFonts w:hint="eastAsia" w:ascii="仿宋" w:hAnsi="仿宋" w:cs="宋体"/>
          <w:color w:val="000000"/>
          <w:kern w:val="0"/>
          <w:sz w:val="24"/>
        </w:rPr>
        <w:t>存在合理缺项，但有相应经营</w:t>
      </w:r>
    </w:p>
    <w:p>
      <w:pPr>
        <w:spacing w:line="320" w:lineRule="exact"/>
        <w:ind w:left="-657" w:leftChars="-313" w:right="-1079" w:rightChars="-514" w:firstLine="127" w:firstLineChars="53"/>
        <w:rPr>
          <w:rFonts w:ascii="仿宋" w:hAnsi="仿宋" w:cs="宋体"/>
          <w:color w:val="000000"/>
          <w:kern w:val="0"/>
          <w:sz w:val="24"/>
        </w:rPr>
      </w:pPr>
      <w:r>
        <w:rPr>
          <w:rFonts w:hint="eastAsia" w:ascii="仿宋" w:hAnsi="仿宋" w:cs="宋体"/>
          <w:color w:val="000000"/>
          <w:kern w:val="0"/>
          <w:sz w:val="24"/>
        </w:rPr>
        <w:t>范围的必须检查记录</w:t>
      </w:r>
      <w:r>
        <w:rPr>
          <w:rFonts w:hint="eastAsia" w:ascii="宋体" w:hAnsi="宋体"/>
          <w:color w:val="000000"/>
          <w:sz w:val="24"/>
        </w:rPr>
        <w:t>；</w:t>
      </w:r>
      <w:r>
        <w:rPr>
          <w:rFonts w:hint="eastAsia" w:ascii="仿宋" w:hAnsi="仿宋" w:cs="宋体"/>
          <w:color w:val="000000"/>
          <w:kern w:val="0"/>
          <w:sz w:val="24"/>
        </w:rPr>
        <w:t>2.</w:t>
      </w:r>
      <w:r>
        <w:rPr>
          <w:rFonts w:ascii="仿宋" w:hAnsi="仿宋" w:cs="宋体"/>
          <w:color w:val="000000"/>
          <w:kern w:val="0"/>
          <w:sz w:val="24"/>
        </w:rPr>
        <w:t>评价结果为“否”的，需要在“备注”栏注明原因；发现存在其他问题的，可以在“其他”一栏进行记录。</w:t>
      </w:r>
    </w:p>
    <w:p>
      <w:pPr>
        <w:spacing w:line="320" w:lineRule="exact"/>
        <w:ind w:left="-657" w:leftChars="-313" w:right="-1079" w:rightChars="-514" w:firstLine="121" w:firstLineChars="53"/>
        <w:rPr>
          <w:rFonts w:ascii="ˎ̥" w:hAnsi="ˎ̥" w:cs="Arial"/>
          <w:color w:val="000000"/>
          <w:kern w:val="0"/>
          <w:sz w:val="23"/>
          <w:szCs w:val="23"/>
        </w:rPr>
      </w:pPr>
    </w:p>
    <w:tbl>
      <w:tblPr>
        <w:tblStyle w:val="7"/>
        <w:tblpPr w:leftFromText="181" w:rightFromText="181" w:vertAnchor="page" w:horzAnchor="page" w:tblpX="2488" w:tblpY="80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563"/>
        <w:gridCol w:w="2295"/>
        <w:gridCol w:w="4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30" w:type="dxa"/>
            <w:vMerge w:val="restart"/>
            <w:tcBorders>
              <w:top w:val="single" w:color="auto" w:sz="4" w:space="0"/>
              <w:left w:val="single" w:color="auto" w:sz="4" w:space="0"/>
              <w:right w:val="single" w:color="auto" w:sz="4" w:space="0"/>
            </w:tcBorders>
            <w:vAlign w:val="center"/>
          </w:tcPr>
          <w:p>
            <w:pPr>
              <w:spacing w:line="100" w:lineRule="atLeast"/>
              <w:jc w:val="center"/>
              <w:rPr>
                <w:rFonts w:ascii="宋体" w:hAnsi="宋体"/>
                <w:b/>
                <w:bCs/>
                <w:color w:val="000000"/>
                <w:sz w:val="24"/>
              </w:rPr>
            </w:pPr>
            <w:r>
              <w:rPr>
                <w:rFonts w:hint="eastAsia" w:ascii="宋体" w:hAnsi="宋体"/>
                <w:b/>
                <w:bCs/>
                <w:color w:val="000000"/>
                <w:sz w:val="24"/>
              </w:rPr>
              <w:t>评价</w:t>
            </w:r>
          </w:p>
          <w:p>
            <w:pPr>
              <w:spacing w:line="100" w:lineRule="atLeast"/>
              <w:jc w:val="center"/>
              <w:rPr>
                <w:rFonts w:ascii="宋体" w:hAnsi="宋体"/>
                <w:color w:val="000000"/>
                <w:sz w:val="24"/>
              </w:rPr>
            </w:pPr>
            <w:r>
              <w:rPr>
                <w:rFonts w:hint="eastAsia" w:ascii="宋体" w:hAnsi="宋体"/>
                <w:b/>
                <w:bCs/>
                <w:color w:val="000000"/>
                <w:sz w:val="24"/>
              </w:rPr>
              <w:t>标准</w:t>
            </w:r>
          </w:p>
        </w:tc>
        <w:tc>
          <w:tcPr>
            <w:tcW w:w="2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bCs/>
                <w:color w:val="000000"/>
                <w:sz w:val="24"/>
              </w:rPr>
            </w:pPr>
            <w:r>
              <w:rPr>
                <w:rFonts w:hint="eastAsia" w:ascii="宋体" w:hAnsi="宋体"/>
                <w:b/>
                <w:bCs/>
                <w:color w:val="000000"/>
                <w:sz w:val="24"/>
              </w:rPr>
              <w:t>评价结论</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bCs/>
                <w:color w:val="000000"/>
                <w:sz w:val="24"/>
              </w:rPr>
            </w:pPr>
            <w:r>
              <w:rPr>
                <w:rFonts w:hint="eastAsia" w:ascii="宋体" w:hAnsi="宋体"/>
                <w:b/>
                <w:bCs/>
                <w:color w:val="000000"/>
                <w:sz w:val="24"/>
              </w:rPr>
              <w:t>违法记分</w:t>
            </w:r>
          </w:p>
        </w:tc>
        <w:tc>
          <w:tcPr>
            <w:tcW w:w="47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24"/>
              </w:rPr>
            </w:pPr>
            <w:r>
              <w:rPr>
                <w:rFonts w:hint="eastAsia" w:ascii="宋体" w:hAnsi="宋体"/>
                <w:b/>
                <w:bCs/>
                <w:color w:val="000000"/>
                <w:sz w:val="24"/>
              </w:rPr>
              <w:t>检查记分结果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30" w:type="dxa"/>
            <w:vMerge w:val="continue"/>
            <w:tcBorders>
              <w:left w:val="single" w:color="auto" w:sz="4" w:space="0"/>
              <w:right w:val="single" w:color="auto" w:sz="4" w:space="0"/>
            </w:tcBorders>
            <w:vAlign w:val="center"/>
          </w:tcPr>
          <w:p>
            <w:pPr>
              <w:widowControl/>
              <w:jc w:val="center"/>
              <w:rPr>
                <w:rFonts w:ascii="宋体" w:hAnsi="宋体"/>
                <w:color w:val="000000"/>
                <w:sz w:val="24"/>
              </w:rPr>
            </w:pPr>
          </w:p>
        </w:tc>
        <w:tc>
          <w:tcPr>
            <w:tcW w:w="2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24"/>
              </w:rPr>
            </w:pPr>
            <w:r>
              <w:rPr>
                <w:rFonts w:hint="eastAsia" w:ascii="宋体" w:hAnsi="宋体"/>
                <w:color w:val="000000"/>
                <w:sz w:val="24"/>
              </w:rPr>
              <w:t>量化A级（优）</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24"/>
              </w:rPr>
            </w:pPr>
            <w:r>
              <w:rPr>
                <w:rFonts w:hint="eastAsia" w:ascii="宋体" w:hAnsi="宋体" w:cs="宋体"/>
                <w:color w:val="000000"/>
                <w:sz w:val="24"/>
              </w:rPr>
              <w:t>&lt;10</w:t>
            </w:r>
            <w:r>
              <w:rPr>
                <w:rFonts w:hint="eastAsia" w:ascii="宋体" w:hAnsi="宋体"/>
                <w:color w:val="000000"/>
                <w:sz w:val="24"/>
              </w:rPr>
              <w:t>分</w:t>
            </w:r>
          </w:p>
        </w:tc>
        <w:tc>
          <w:tcPr>
            <w:tcW w:w="4791"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left="1560" w:hanging="1560" w:hangingChars="650"/>
              <w:jc w:val="center"/>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0" w:type="dxa"/>
            <w:vMerge w:val="continue"/>
            <w:tcBorders>
              <w:left w:val="single" w:color="auto" w:sz="4" w:space="0"/>
              <w:right w:val="single" w:color="auto" w:sz="4" w:space="0"/>
            </w:tcBorders>
            <w:vAlign w:val="center"/>
          </w:tcPr>
          <w:p>
            <w:pPr>
              <w:widowControl/>
              <w:jc w:val="center"/>
              <w:rPr>
                <w:rFonts w:ascii="宋体" w:hAnsi="宋体"/>
                <w:color w:val="000000"/>
                <w:sz w:val="24"/>
              </w:rPr>
            </w:pPr>
          </w:p>
        </w:tc>
        <w:tc>
          <w:tcPr>
            <w:tcW w:w="2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24"/>
              </w:rPr>
            </w:pPr>
            <w:r>
              <w:rPr>
                <w:rFonts w:hint="eastAsia" w:ascii="宋体" w:hAnsi="宋体"/>
                <w:color w:val="000000"/>
                <w:sz w:val="24"/>
              </w:rPr>
              <w:t>量化B级（良）</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24"/>
              </w:rPr>
            </w:pPr>
            <w:r>
              <w:rPr>
                <w:rFonts w:hint="eastAsia" w:ascii="宋体" w:hAnsi="宋体" w:cs="宋体"/>
                <w:color w:val="000000"/>
                <w:sz w:val="24"/>
              </w:rPr>
              <w:t>&lt;</w:t>
            </w:r>
            <w:r>
              <w:rPr>
                <w:rFonts w:hint="eastAsia" w:ascii="宋体" w:hAnsi="宋体"/>
                <w:color w:val="000000"/>
                <w:sz w:val="24"/>
              </w:rPr>
              <w:t>15分</w:t>
            </w:r>
            <w:r>
              <w:rPr>
                <w:rFonts w:hint="eastAsia" w:ascii="宋体" w:hAnsi="宋体" w:cs="宋体"/>
                <w:color w:val="000000"/>
                <w:sz w:val="24"/>
              </w:rPr>
              <w:t>≧10</w:t>
            </w:r>
            <w:r>
              <w:rPr>
                <w:rFonts w:hint="eastAsia" w:ascii="宋体" w:hAnsi="宋体"/>
                <w:color w:val="000000"/>
                <w:sz w:val="24"/>
              </w:rPr>
              <w:t>分</w:t>
            </w:r>
          </w:p>
        </w:tc>
        <w:tc>
          <w:tcPr>
            <w:tcW w:w="47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30" w:type="dxa"/>
            <w:vMerge w:val="continue"/>
            <w:tcBorders>
              <w:left w:val="single" w:color="auto" w:sz="4" w:space="0"/>
              <w:right w:val="single" w:color="auto" w:sz="4" w:space="0"/>
            </w:tcBorders>
            <w:vAlign w:val="center"/>
          </w:tcPr>
          <w:p>
            <w:pPr>
              <w:widowControl/>
              <w:jc w:val="center"/>
              <w:rPr>
                <w:rFonts w:ascii="宋体" w:hAnsi="宋体"/>
                <w:color w:val="000000"/>
                <w:sz w:val="24"/>
              </w:rPr>
            </w:pPr>
          </w:p>
        </w:tc>
        <w:tc>
          <w:tcPr>
            <w:tcW w:w="2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24"/>
              </w:rPr>
            </w:pPr>
            <w:r>
              <w:rPr>
                <w:rFonts w:hint="eastAsia" w:ascii="宋体" w:hAnsi="宋体"/>
                <w:color w:val="000000"/>
                <w:sz w:val="24"/>
              </w:rPr>
              <w:t xml:space="preserve"> 量化C级（一般）</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24"/>
              </w:rPr>
            </w:pPr>
            <w:r>
              <w:rPr>
                <w:rFonts w:hint="eastAsia" w:ascii="宋体" w:hAnsi="宋体" w:cs="宋体"/>
                <w:color w:val="000000"/>
                <w:sz w:val="24"/>
              </w:rPr>
              <w:t>&lt;</w:t>
            </w:r>
            <w:r>
              <w:rPr>
                <w:rFonts w:hint="eastAsia" w:ascii="宋体" w:hAnsi="宋体"/>
                <w:color w:val="000000"/>
                <w:sz w:val="24"/>
              </w:rPr>
              <w:t>20分</w:t>
            </w:r>
            <w:r>
              <w:rPr>
                <w:rFonts w:hint="eastAsia" w:ascii="宋体" w:hAnsi="宋体" w:cs="宋体"/>
                <w:color w:val="000000"/>
                <w:sz w:val="24"/>
              </w:rPr>
              <w:t>≧1</w:t>
            </w:r>
            <w:r>
              <w:rPr>
                <w:rFonts w:hint="eastAsia" w:ascii="宋体" w:hAnsi="宋体"/>
                <w:color w:val="000000"/>
                <w:sz w:val="24"/>
              </w:rPr>
              <w:t>5分</w:t>
            </w:r>
          </w:p>
        </w:tc>
        <w:tc>
          <w:tcPr>
            <w:tcW w:w="4791"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color w:val="000000"/>
                <w:sz w:val="24"/>
              </w:rPr>
            </w:pPr>
            <w:r>
              <w:rPr>
                <w:rFonts w:hint="eastAsia" w:ascii="宋体" w:hAnsi="宋体"/>
                <w:b/>
                <w:color w:val="000000"/>
                <w:sz w:val="24"/>
              </w:rPr>
              <w:t>结论：</w:t>
            </w:r>
            <w:r>
              <w:rPr>
                <w:rFonts w:hint="eastAsia" w:ascii="宋体" w:hAnsi="宋体"/>
                <w:color w:val="000000"/>
                <w:sz w:val="24"/>
              </w:rPr>
              <w:t>□</w:t>
            </w:r>
            <w:r>
              <w:rPr>
                <w:rFonts w:hint="eastAsia" w:ascii="宋体" w:hAnsi="宋体"/>
                <w:b/>
                <w:color w:val="000000"/>
                <w:sz w:val="24"/>
              </w:rPr>
              <w:t xml:space="preserve">A级  </w:t>
            </w:r>
            <w:r>
              <w:rPr>
                <w:rFonts w:hint="eastAsia" w:ascii="宋体" w:hAnsi="宋体"/>
                <w:color w:val="000000"/>
                <w:sz w:val="24"/>
              </w:rPr>
              <w:t>□</w:t>
            </w:r>
            <w:r>
              <w:rPr>
                <w:rFonts w:hint="eastAsia" w:ascii="宋体" w:hAnsi="宋体"/>
                <w:b/>
                <w:color w:val="000000"/>
                <w:sz w:val="24"/>
              </w:rPr>
              <w:t xml:space="preserve">B级  </w:t>
            </w:r>
            <w:r>
              <w:rPr>
                <w:rFonts w:hint="eastAsia" w:ascii="宋体" w:hAnsi="宋体"/>
                <w:color w:val="000000"/>
                <w:sz w:val="24"/>
              </w:rPr>
              <w:t>□</w:t>
            </w:r>
            <w:r>
              <w:rPr>
                <w:rFonts w:hint="eastAsia" w:ascii="宋体" w:hAnsi="宋体"/>
                <w:b/>
                <w:color w:val="000000"/>
                <w:sz w:val="24"/>
              </w:rPr>
              <w:t xml:space="preserve">C级 </w:t>
            </w:r>
            <w:r>
              <w:rPr>
                <w:rFonts w:hint="eastAsia" w:ascii="宋体" w:hAnsi="宋体"/>
                <w:color w:val="000000"/>
                <w:sz w:val="24"/>
              </w:rPr>
              <w:t>□</w:t>
            </w:r>
            <w:r>
              <w:rPr>
                <w:rFonts w:hint="eastAsia" w:ascii="宋体" w:hAnsi="宋体"/>
                <w:b/>
                <w:bCs/>
                <w:color w:val="000000"/>
                <w:sz w:val="24"/>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3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000000"/>
                <w:sz w:val="20"/>
                <w:szCs w:val="21"/>
              </w:rPr>
            </w:pPr>
          </w:p>
        </w:tc>
        <w:tc>
          <w:tcPr>
            <w:tcW w:w="2563"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firstLineChars="150"/>
              <w:rPr>
                <w:rFonts w:ascii="宋体" w:hAnsi="宋体"/>
                <w:color w:val="000000"/>
                <w:sz w:val="24"/>
              </w:rPr>
            </w:pPr>
            <w:r>
              <w:rPr>
                <w:rFonts w:hint="eastAsia" w:ascii="宋体" w:hAnsi="宋体"/>
                <w:color w:val="000000"/>
                <w:sz w:val="24"/>
              </w:rPr>
              <w:t>量化D级(较差)</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24"/>
              </w:rPr>
            </w:pPr>
            <w:r>
              <w:rPr>
                <w:rFonts w:hint="eastAsia" w:ascii="宋体" w:hAnsi="宋体" w:cs="宋体"/>
                <w:color w:val="000000"/>
                <w:sz w:val="24"/>
              </w:rPr>
              <w:t>≧</w:t>
            </w:r>
            <w:r>
              <w:rPr>
                <w:rFonts w:hint="eastAsia" w:ascii="宋体" w:hAnsi="宋体"/>
                <w:color w:val="000000"/>
                <w:sz w:val="24"/>
              </w:rPr>
              <w:t>20分</w:t>
            </w:r>
          </w:p>
        </w:tc>
        <w:tc>
          <w:tcPr>
            <w:tcW w:w="4791"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b/>
                <w:color w:val="000000"/>
                <w:sz w:val="24"/>
              </w:rPr>
            </w:pPr>
          </w:p>
        </w:tc>
      </w:tr>
    </w:tbl>
    <w:p>
      <w:pPr>
        <w:pStyle w:val="23"/>
        <w:widowControl/>
        <w:wordWrap/>
        <w:snapToGrid w:val="0"/>
        <w:spacing w:line="440" w:lineRule="exact"/>
        <w:rPr>
          <w:rStyle w:val="18"/>
          <w:rFonts w:hint="default" w:ascii="华文中宋" w:hAnsi="华文中宋" w:eastAsia="华文中宋" w:cs="黑体"/>
          <w:sz w:val="36"/>
          <w:szCs w:val="32"/>
        </w:rPr>
      </w:pPr>
    </w:p>
    <w:p>
      <w:pPr>
        <w:pStyle w:val="23"/>
        <w:widowControl/>
        <w:wordWrap/>
        <w:snapToGrid w:val="0"/>
        <w:spacing w:line="440" w:lineRule="exact"/>
        <w:rPr>
          <w:rStyle w:val="18"/>
          <w:rFonts w:hint="default" w:ascii="华文中宋" w:hAnsi="华文中宋" w:eastAsia="华文中宋" w:cs="黑体"/>
          <w:sz w:val="36"/>
          <w:szCs w:val="32"/>
        </w:rPr>
      </w:pPr>
    </w:p>
    <w:p>
      <w:pPr>
        <w:pStyle w:val="23"/>
        <w:widowControl/>
        <w:wordWrap/>
        <w:snapToGrid w:val="0"/>
        <w:spacing w:line="440" w:lineRule="exact"/>
        <w:rPr>
          <w:rStyle w:val="18"/>
          <w:rFonts w:hint="default" w:ascii="华文中宋" w:hAnsi="华文中宋" w:eastAsia="华文中宋" w:cs="黑体"/>
          <w:sz w:val="36"/>
          <w:szCs w:val="32"/>
        </w:rPr>
      </w:pPr>
    </w:p>
    <w:p>
      <w:pPr>
        <w:rPr>
          <w:rFonts w:hint="eastAsia" w:ascii="宋体" w:hAnsi="宋体" w:cs="宋体"/>
          <w:b/>
          <w:color w:val="000000"/>
          <w:sz w:val="32"/>
          <w:szCs w:val="32"/>
        </w:rPr>
      </w:pPr>
    </w:p>
    <w:p>
      <w:pPr>
        <w:rPr>
          <w:rFonts w:hint="eastAsia" w:ascii="宋体" w:hAnsi="宋体" w:cs="宋体"/>
          <w:bCs/>
          <w:color w:val="000000"/>
          <w:sz w:val="32"/>
          <w:szCs w:val="32"/>
        </w:rPr>
      </w:pPr>
      <w:r>
        <w:rPr>
          <w:rFonts w:hint="eastAsia" w:ascii="宋体" w:hAnsi="宋体" w:cs="宋体"/>
          <w:bCs/>
          <w:color w:val="000000"/>
          <w:sz w:val="32"/>
          <w:szCs w:val="32"/>
        </w:rPr>
        <w:t>附件1-2-2</w:t>
      </w:r>
    </w:p>
    <w:p>
      <w:pPr>
        <w:spacing w:line="360" w:lineRule="auto"/>
        <w:ind w:right="-540" w:rightChars="-257" w:firstLine="1360" w:firstLineChars="400"/>
        <w:rPr>
          <w:rFonts w:hint="eastAsia" w:ascii="华文中宋" w:hAnsi="华文中宋" w:eastAsia="华文中宋"/>
          <w:b/>
          <w:color w:val="000000"/>
          <w:spacing w:val="-10"/>
          <w:sz w:val="36"/>
          <w:szCs w:val="36"/>
        </w:rPr>
      </w:pPr>
      <w:r>
        <w:rPr>
          <w:rFonts w:hint="eastAsia" w:ascii="华文中宋" w:hAnsi="华文中宋" w:eastAsia="华文中宋"/>
          <w:b/>
          <w:color w:val="000000"/>
          <w:spacing w:val="-10"/>
          <w:sz w:val="36"/>
          <w:szCs w:val="36"/>
        </w:rPr>
        <w:t xml:space="preserve">         深圳市餐饮食品安全违法记分量化检查标准（微小餐饮）</w:t>
      </w:r>
    </w:p>
    <w:p>
      <w:r>
        <w:rPr>
          <w:rFonts w:hint="eastAsia" w:ascii="华文中宋" w:hAnsi="华文中宋" w:eastAsia="华文中宋"/>
          <w:b/>
          <w:color w:val="000000"/>
          <w:spacing w:val="-10"/>
          <w:sz w:val="36"/>
          <w:szCs w:val="36"/>
        </w:rPr>
        <w:t xml:space="preserve">                       </w:t>
      </w:r>
      <w:r>
        <w:rPr>
          <w:rFonts w:hint="eastAsia" w:ascii="仿宋_GB2312" w:hAnsi="宋体"/>
        </w:rPr>
        <w:t>（适用于经营场所使用面积在</w:t>
      </w:r>
      <w:r>
        <w:rPr>
          <w:rFonts w:hint="eastAsia" w:ascii="宋体" w:hAnsi="宋体"/>
        </w:rPr>
        <w:t>50</w:t>
      </w:r>
      <w:r>
        <w:rPr>
          <w:rFonts w:hint="eastAsia" w:ascii="仿宋_GB2312" w:hAnsi="宋体"/>
        </w:rPr>
        <w:t>㎡及以下的餐饮服务经营者）</w:t>
      </w:r>
    </w:p>
    <w:p>
      <w:pPr>
        <w:spacing w:line="240" w:lineRule="exact"/>
        <w:ind w:right="-540" w:rightChars="-257"/>
        <w:rPr>
          <w:rFonts w:ascii="华文中宋" w:hAnsi="华文中宋" w:eastAsia="华文中宋"/>
          <w:b/>
          <w:color w:val="000000"/>
          <w:spacing w:val="-10"/>
          <w:sz w:val="36"/>
          <w:szCs w:val="36"/>
        </w:rPr>
      </w:pPr>
    </w:p>
    <w:tbl>
      <w:tblPr>
        <w:tblStyle w:val="7"/>
        <w:tblpPr w:leftFromText="180" w:rightFromText="180" w:vertAnchor="text" w:horzAnchor="page" w:tblpX="1276" w:tblpY="1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9459"/>
        <w:gridCol w:w="870"/>
        <w:gridCol w:w="1365"/>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blHeader/>
        </w:trPr>
        <w:tc>
          <w:tcPr>
            <w:tcW w:w="8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
                <w:color w:val="000000"/>
                <w:sz w:val="24"/>
              </w:rPr>
            </w:pPr>
            <w:r>
              <w:rPr>
                <w:rFonts w:hint="eastAsia" w:ascii="宋体" w:hAnsi="宋体" w:cs="宋体"/>
                <w:b/>
                <w:color w:val="000000"/>
                <w:sz w:val="24"/>
              </w:rPr>
              <w:t>检查项目</w:t>
            </w:r>
          </w:p>
        </w:tc>
        <w:tc>
          <w:tcPr>
            <w:tcW w:w="9459"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896" w:firstLineChars="1202"/>
              <w:rPr>
                <w:rFonts w:ascii="宋体" w:hAnsi="宋体" w:cs="宋体"/>
                <w:b/>
                <w:color w:val="000000"/>
                <w:sz w:val="24"/>
              </w:rPr>
            </w:pPr>
            <w:r>
              <w:rPr>
                <w:rFonts w:hint="eastAsia" w:ascii="宋体" w:hAnsi="宋体" w:cs="宋体"/>
                <w:b/>
                <w:color w:val="000000"/>
                <w:sz w:val="24"/>
              </w:rPr>
              <w:t>检 查 内 容</w:t>
            </w:r>
          </w:p>
        </w:tc>
        <w:tc>
          <w:tcPr>
            <w:tcW w:w="8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s="仿宋_GB2312"/>
                <w:b/>
                <w:bCs/>
                <w:color w:val="000000"/>
                <w:kern w:val="0"/>
                <w:sz w:val="24"/>
              </w:rPr>
            </w:pPr>
            <w:r>
              <w:rPr>
                <w:rFonts w:hint="eastAsia" w:ascii="宋体" w:hAnsi="宋体" w:cs="仿宋_GB2312"/>
                <w:b/>
                <w:bCs/>
                <w:color w:val="000000"/>
                <w:kern w:val="0"/>
                <w:sz w:val="24"/>
              </w:rPr>
              <w:t>记分</w:t>
            </w:r>
          </w:p>
          <w:p>
            <w:pPr>
              <w:spacing w:line="320" w:lineRule="exact"/>
              <w:jc w:val="center"/>
              <w:rPr>
                <w:rFonts w:ascii="宋体" w:hAnsi="宋体" w:cs="仿宋_GB2312"/>
                <w:b/>
                <w:bCs/>
                <w:color w:val="000000"/>
                <w:kern w:val="0"/>
                <w:sz w:val="24"/>
              </w:rPr>
            </w:pPr>
            <w:r>
              <w:rPr>
                <w:rFonts w:hint="eastAsia" w:ascii="宋体" w:hAnsi="宋体" w:cs="仿宋_GB2312"/>
                <w:b/>
                <w:bCs/>
                <w:color w:val="000000"/>
                <w:kern w:val="0"/>
                <w:sz w:val="24"/>
              </w:rPr>
              <w:t>分数</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仿宋_GB2312"/>
                <w:b/>
                <w:bCs/>
                <w:color w:val="000000"/>
                <w:kern w:val="0"/>
                <w:sz w:val="24"/>
              </w:rPr>
            </w:pPr>
            <w:r>
              <w:rPr>
                <w:rFonts w:hint="eastAsia" w:ascii="宋体" w:hAnsi="宋体" w:cs="仿宋_GB2312"/>
                <w:b/>
                <w:bCs/>
                <w:color w:val="000000"/>
                <w:kern w:val="0"/>
                <w:sz w:val="24"/>
              </w:rPr>
              <w:t>√=符合</w:t>
            </w:r>
          </w:p>
          <w:p>
            <w:pPr>
              <w:spacing w:line="320" w:lineRule="exact"/>
              <w:jc w:val="center"/>
              <w:rPr>
                <w:rFonts w:ascii="宋体" w:hAnsi="宋体" w:cs="仿宋_GB2312"/>
                <w:b/>
                <w:bCs/>
                <w:color w:val="000000"/>
                <w:kern w:val="0"/>
                <w:sz w:val="24"/>
              </w:rPr>
            </w:pPr>
            <w:r>
              <w:rPr>
                <w:rFonts w:hint="eastAsia" w:ascii="宋体" w:hAnsi="宋体" w:cs="仿宋_GB2312"/>
                <w:b/>
                <w:bCs/>
                <w:color w:val="000000"/>
                <w:kern w:val="0"/>
                <w:sz w:val="24"/>
              </w:rPr>
              <w:t>×=不符</w:t>
            </w:r>
          </w:p>
          <w:p>
            <w:pPr>
              <w:spacing w:line="320" w:lineRule="exact"/>
              <w:jc w:val="center"/>
              <w:rPr>
                <w:rFonts w:ascii="宋体" w:hAnsi="宋体" w:cs="仿宋_GB2312"/>
                <w:b/>
                <w:bCs/>
                <w:color w:val="000000"/>
                <w:kern w:val="0"/>
                <w:sz w:val="24"/>
              </w:rPr>
            </w:pPr>
            <w:r>
              <w:rPr>
                <w:rFonts w:hint="eastAsia" w:ascii="宋体" w:hAnsi="宋体" w:cs="仿宋_GB2312"/>
                <w:b/>
                <w:bCs/>
                <w:color w:val="000000"/>
                <w:kern w:val="0"/>
                <w:sz w:val="24"/>
              </w:rPr>
              <w:t>/=不适用</w:t>
            </w:r>
          </w:p>
        </w:tc>
        <w:tc>
          <w:tcPr>
            <w:tcW w:w="13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仿宋_GB2312"/>
                <w:b/>
                <w:bCs/>
                <w:color w:val="000000"/>
                <w:kern w:val="0"/>
                <w:sz w:val="24"/>
              </w:rPr>
            </w:pPr>
            <w:r>
              <w:rPr>
                <w:rFonts w:hint="eastAsia" w:ascii="宋体" w:hAnsi="宋体" w:cs="仿宋_GB2312"/>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8" w:type="dxa"/>
            <w:vMerge w:val="restart"/>
            <w:tcBorders>
              <w:top w:val="single" w:color="auto" w:sz="4" w:space="0"/>
              <w:left w:val="single" w:color="auto" w:sz="4" w:space="0"/>
              <w:right w:val="single" w:color="auto" w:sz="4" w:space="0"/>
            </w:tcBorders>
            <w:vAlign w:val="center"/>
          </w:tcPr>
          <w:p>
            <w:pPr>
              <w:spacing w:line="320" w:lineRule="exact"/>
              <w:rPr>
                <w:rFonts w:ascii="宋体" w:hAnsi="宋体"/>
                <w:b/>
                <w:bCs/>
                <w:color w:val="000000"/>
                <w:sz w:val="24"/>
              </w:rPr>
            </w:pPr>
            <w:r>
              <w:rPr>
                <w:rFonts w:hint="eastAsia" w:ascii="宋体" w:hAnsi="宋体"/>
                <w:b/>
                <w:bCs/>
                <w:color w:val="000000"/>
                <w:sz w:val="24"/>
              </w:rPr>
              <w:t>许可</w:t>
            </w:r>
          </w:p>
          <w:p>
            <w:pPr>
              <w:spacing w:line="320" w:lineRule="exact"/>
              <w:rPr>
                <w:rFonts w:ascii="宋体" w:hAnsi="宋体"/>
                <w:b/>
                <w:bCs/>
                <w:color w:val="000000"/>
                <w:sz w:val="24"/>
              </w:rPr>
            </w:pPr>
            <w:r>
              <w:rPr>
                <w:rFonts w:hint="eastAsia" w:ascii="宋体" w:hAnsi="宋体"/>
                <w:b/>
                <w:bCs/>
                <w:color w:val="000000"/>
                <w:sz w:val="24"/>
              </w:rPr>
              <w:t>管理</w:t>
            </w:r>
          </w:p>
        </w:tc>
        <w:tc>
          <w:tcPr>
            <w:tcW w:w="9459"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olor w:val="000000"/>
                <w:sz w:val="24"/>
              </w:rPr>
            </w:pPr>
            <w:r>
              <w:rPr>
                <w:rFonts w:hint="eastAsia" w:ascii="宋体" w:hAnsi="宋体" w:cs="仿宋_GB2312"/>
                <w:color w:val="000000"/>
                <w:kern w:val="0"/>
                <w:sz w:val="24"/>
              </w:rPr>
              <w:t>1</w:t>
            </w:r>
            <w:r>
              <w:rPr>
                <w:rFonts w:hint="eastAsia" w:ascii="宋体" w:hAnsi="宋体"/>
                <w:color w:val="000000"/>
                <w:sz w:val="24"/>
              </w:rPr>
              <w:t>★ 餐饮</w:t>
            </w:r>
            <w:r>
              <w:rPr>
                <w:rFonts w:hint="eastAsia" w:ascii="宋体" w:hAnsi="宋体" w:cs="仿宋_GB2312"/>
                <w:color w:val="000000"/>
                <w:kern w:val="0"/>
                <w:sz w:val="24"/>
              </w:rPr>
              <w:t>经营许可证合法且在有效期内。</w:t>
            </w:r>
          </w:p>
        </w:tc>
        <w:tc>
          <w:tcPr>
            <w:tcW w:w="87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236" w:firstLineChars="98"/>
              <w:jc w:val="right"/>
              <w:rPr>
                <w:rFonts w:ascii="宋体" w:hAnsi="宋体"/>
                <w:b/>
                <w:color w:val="000000"/>
                <w:sz w:val="24"/>
              </w:rPr>
            </w:pPr>
            <w:r>
              <w:rPr>
                <w:rFonts w:hint="eastAsia" w:ascii="宋体" w:hAnsi="宋体"/>
                <w:b/>
                <w:color w:val="000000"/>
                <w:sz w:val="24"/>
              </w:rPr>
              <w:t>20</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center"/>
              <w:rPr>
                <w:rFonts w:ascii="宋体" w:hAnsi="宋体"/>
                <w:b/>
                <w:color w:val="000000"/>
                <w:sz w:val="24"/>
              </w:rPr>
            </w:pPr>
          </w:p>
        </w:tc>
        <w:tc>
          <w:tcPr>
            <w:tcW w:w="1384"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right w:val="single" w:color="auto" w:sz="4" w:space="0"/>
            </w:tcBorders>
            <w:vAlign w:val="center"/>
          </w:tcPr>
          <w:p>
            <w:pPr>
              <w:widowControl/>
              <w:spacing w:line="320" w:lineRule="exact"/>
              <w:ind w:left="42" w:leftChars="20" w:right="42" w:rightChars="20"/>
              <w:rPr>
                <w:rFonts w:ascii="宋体" w:hAnsi="宋体"/>
                <w:b/>
                <w:bCs/>
                <w:color w:val="000000"/>
                <w:sz w:val="24"/>
              </w:rPr>
            </w:pPr>
          </w:p>
        </w:tc>
        <w:tc>
          <w:tcPr>
            <w:tcW w:w="945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仿宋_GB2312"/>
                <w:color w:val="000000"/>
                <w:kern w:val="0"/>
                <w:sz w:val="24"/>
              </w:rPr>
            </w:pPr>
            <w:r>
              <w:rPr>
                <w:rFonts w:hint="eastAsia" w:ascii="宋体" w:hAnsi="宋体"/>
                <w:color w:val="000000"/>
                <w:sz w:val="24"/>
              </w:rPr>
              <w:t>2★实际</w:t>
            </w:r>
            <w:r>
              <w:rPr>
                <w:rFonts w:hint="eastAsia" w:ascii="宋体" w:hAnsi="宋体" w:cs="仿宋_GB2312"/>
                <w:color w:val="000000"/>
                <w:kern w:val="0"/>
                <w:sz w:val="24"/>
              </w:rPr>
              <w:t>经营地址、主体业态（经营场所使用面积不超过50㎡</w:t>
            </w:r>
            <w:r>
              <w:rPr>
                <w:rFonts w:hint="eastAsia" w:ascii="宋体" w:hAnsi="宋体" w:cs="仿宋_GB2312"/>
                <w:color w:val="0000FF"/>
                <w:kern w:val="0"/>
                <w:sz w:val="24"/>
              </w:rPr>
              <w:t>）</w:t>
            </w:r>
            <w:r>
              <w:rPr>
                <w:rFonts w:hint="eastAsia" w:ascii="宋体" w:hAnsi="宋体" w:cs="仿宋_GB2312"/>
                <w:color w:val="000000"/>
                <w:kern w:val="0"/>
                <w:sz w:val="24"/>
              </w:rPr>
              <w:t>、经营项目等事项与食品经营许可证一致。</w:t>
            </w:r>
          </w:p>
        </w:tc>
        <w:tc>
          <w:tcPr>
            <w:tcW w:w="87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236" w:firstLineChars="98"/>
              <w:jc w:val="right"/>
              <w:rPr>
                <w:rFonts w:ascii="宋体" w:hAnsi="宋体"/>
                <w:b/>
                <w:color w:val="000000"/>
                <w:sz w:val="24"/>
              </w:rPr>
            </w:pPr>
            <w:r>
              <w:rPr>
                <w:rFonts w:hint="eastAsia" w:ascii="宋体" w:hAnsi="宋体"/>
                <w:b/>
                <w:color w:val="000000"/>
                <w:sz w:val="24"/>
              </w:rPr>
              <w:t>20</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center"/>
              <w:rPr>
                <w:rFonts w:ascii="宋体" w:hAnsi="宋体"/>
                <w:b/>
                <w:color w:val="000000"/>
                <w:sz w:val="24"/>
              </w:rPr>
            </w:pPr>
          </w:p>
        </w:tc>
        <w:tc>
          <w:tcPr>
            <w:tcW w:w="1384"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848" w:type="dxa"/>
            <w:vMerge w:val="continue"/>
            <w:tcBorders>
              <w:left w:val="single" w:color="auto" w:sz="4" w:space="0"/>
              <w:bottom w:val="single" w:color="auto" w:sz="4" w:space="0"/>
              <w:right w:val="single" w:color="auto" w:sz="4" w:space="0"/>
            </w:tcBorders>
            <w:vAlign w:val="center"/>
          </w:tcPr>
          <w:p>
            <w:pPr>
              <w:spacing w:line="320" w:lineRule="exact"/>
              <w:ind w:left="42" w:leftChars="20" w:right="42" w:rightChars="20"/>
              <w:rPr>
                <w:rFonts w:ascii="宋体" w:hAnsi="宋体" w:cs="宋体"/>
                <w:b/>
                <w:bCs/>
                <w:color w:val="000000"/>
                <w:kern w:val="0"/>
                <w:sz w:val="24"/>
              </w:rPr>
            </w:pPr>
          </w:p>
        </w:tc>
        <w:tc>
          <w:tcPr>
            <w:tcW w:w="94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right="42" w:rightChars="20"/>
              <w:jc w:val="left"/>
              <w:rPr>
                <w:rFonts w:ascii="宋体" w:hAnsi="宋体" w:cs="仿宋_GB2312"/>
                <w:color w:val="000000"/>
                <w:kern w:val="0"/>
                <w:sz w:val="24"/>
              </w:rPr>
            </w:pPr>
            <w:r>
              <w:rPr>
                <w:rFonts w:hint="eastAsia" w:ascii="宋体" w:hAnsi="宋体" w:cs="仿宋_GB2312"/>
                <w:color w:val="000000"/>
                <w:kern w:val="0"/>
                <w:sz w:val="24"/>
              </w:rPr>
              <w:t>3.餐饮服务单位周边无暴露垃圾场站等影响食品安全的污染源；加工经营场所内无圈养、宰杀活的禽畜类动物的区域（或距离25米以上）；具备给排水设施，有城市管网自来水；食品加工场所和设备设施在室内。食品处理区内不得设置厕所。</w:t>
            </w:r>
          </w:p>
        </w:tc>
        <w:tc>
          <w:tcPr>
            <w:tcW w:w="87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236" w:firstLineChars="98"/>
              <w:jc w:val="right"/>
              <w:rPr>
                <w:rFonts w:ascii="宋体" w:hAnsi="宋体"/>
                <w:b/>
                <w:color w:val="000000"/>
                <w:sz w:val="24"/>
              </w:rPr>
            </w:pPr>
            <w:r>
              <w:rPr>
                <w:rFonts w:hint="eastAsia" w:ascii="宋体" w:hAnsi="宋体"/>
                <w:b/>
                <w:color w:val="000000"/>
                <w:sz w:val="24"/>
              </w:rPr>
              <w:t xml:space="preserve"> 5</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center"/>
              <w:rPr>
                <w:rFonts w:ascii="宋体" w:hAnsi="宋体"/>
                <w:b/>
                <w:color w:val="000000"/>
                <w:sz w:val="24"/>
              </w:rPr>
            </w:pPr>
          </w:p>
        </w:tc>
        <w:tc>
          <w:tcPr>
            <w:tcW w:w="1384"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848" w:type="dxa"/>
            <w:vMerge w:val="restart"/>
            <w:tcBorders>
              <w:left w:val="single" w:color="auto" w:sz="4" w:space="0"/>
              <w:right w:val="single" w:color="auto" w:sz="4" w:space="0"/>
            </w:tcBorders>
            <w:vAlign w:val="center"/>
          </w:tcPr>
          <w:p>
            <w:pPr>
              <w:spacing w:line="320" w:lineRule="exact"/>
              <w:ind w:left="42" w:leftChars="20" w:right="42" w:rightChars="20"/>
              <w:rPr>
                <w:rFonts w:ascii="宋体" w:hAnsi="宋体" w:cs="宋体"/>
                <w:b/>
                <w:bCs/>
                <w:color w:val="000000"/>
                <w:kern w:val="0"/>
                <w:sz w:val="24"/>
              </w:rPr>
            </w:pPr>
            <w:r>
              <w:rPr>
                <w:rFonts w:hint="eastAsia" w:ascii="宋体" w:hAnsi="宋体" w:cs="宋体"/>
                <w:b/>
                <w:bCs/>
                <w:color w:val="000000"/>
                <w:kern w:val="0"/>
                <w:sz w:val="24"/>
              </w:rPr>
              <w:t>信息公示</w:t>
            </w:r>
          </w:p>
        </w:tc>
        <w:tc>
          <w:tcPr>
            <w:tcW w:w="94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right="42" w:rightChars="20"/>
              <w:jc w:val="left"/>
              <w:rPr>
                <w:rFonts w:hint="eastAsia" w:ascii="宋体" w:hAnsi="宋体" w:cs="仿宋_GB2312"/>
                <w:color w:val="000000"/>
                <w:kern w:val="0"/>
                <w:sz w:val="24"/>
              </w:rPr>
            </w:pPr>
            <w:r>
              <w:rPr>
                <w:rFonts w:hint="eastAsia" w:ascii="宋体" w:hAnsi="宋体" w:cs="仿宋_GB2312"/>
                <w:color w:val="000000"/>
                <w:kern w:val="0"/>
                <w:sz w:val="24"/>
              </w:rPr>
              <w:t>4.在经营场所醒目位置公示食品经营许可证、量化等级、监督检查记录表、食品安全承诺书、食品安全管理员、健康证及使用的食品添加剂、大宗食品原料来源等信息。</w:t>
            </w:r>
          </w:p>
        </w:tc>
        <w:tc>
          <w:tcPr>
            <w:tcW w:w="870" w:type="dxa"/>
            <w:tcBorders>
              <w:top w:val="single" w:color="auto" w:sz="4" w:space="0"/>
              <w:left w:val="single" w:color="auto" w:sz="4" w:space="0"/>
              <w:bottom w:val="single" w:color="auto" w:sz="4" w:space="0"/>
              <w:right w:val="single" w:color="auto" w:sz="4" w:space="0"/>
            </w:tcBorders>
          </w:tcPr>
          <w:p>
            <w:pPr>
              <w:spacing w:line="320" w:lineRule="exact"/>
              <w:ind w:firstLine="482"/>
              <w:jc w:val="right"/>
              <w:rPr>
                <w:rFonts w:hint="eastAsia" w:ascii="宋体" w:hAnsi="宋体"/>
                <w:b/>
                <w:color w:val="000000"/>
                <w:sz w:val="24"/>
              </w:rPr>
            </w:pPr>
          </w:p>
          <w:p>
            <w:pPr>
              <w:spacing w:line="320" w:lineRule="exact"/>
              <w:ind w:firstLine="482"/>
              <w:jc w:val="right"/>
              <w:rPr>
                <w:rFonts w:hint="eastAsia" w:ascii="宋体" w:hAnsi="宋体"/>
                <w:b/>
                <w:color w:val="000000"/>
                <w:sz w:val="24"/>
              </w:rPr>
            </w:pPr>
            <w:r>
              <w:rPr>
                <w:rFonts w:hint="eastAsia" w:ascii="宋体" w:hAnsi="宋体"/>
                <w:b/>
                <w:color w:val="000000"/>
                <w:sz w:val="24"/>
              </w:rPr>
              <w:t>1</w:t>
            </w:r>
          </w:p>
        </w:tc>
        <w:tc>
          <w:tcPr>
            <w:tcW w:w="1365"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384" w:type="dxa"/>
            <w:tcBorders>
              <w:top w:val="single" w:color="auto" w:sz="4" w:space="0"/>
              <w:left w:val="single" w:color="auto" w:sz="4" w:space="0"/>
              <w:bottom w:val="single" w:color="auto" w:sz="4" w:space="0"/>
              <w:right w:val="single" w:color="auto" w:sz="4" w:space="0"/>
            </w:tcBorders>
          </w:tcPr>
          <w:p>
            <w:pPr>
              <w:spacing w:line="320" w:lineRule="exact"/>
              <w:jc w:val="left"/>
              <w:rPr>
                <w:rFonts w:hint="eastAsia" w:ascii="宋体" w:hAnsi="宋体"/>
                <w:color w:val="000000"/>
                <w:sz w:val="24"/>
              </w:rPr>
            </w:pPr>
          </w:p>
          <w:p>
            <w:pPr>
              <w:spacing w:line="320" w:lineRule="exact"/>
              <w:jc w:val="left"/>
              <w:rPr>
                <w:rFonts w:hint="eastAsia" w:ascii="宋体" w:hAnsi="宋体"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8"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b/>
                <w:bCs/>
                <w:color w:val="000000"/>
                <w:kern w:val="0"/>
                <w:sz w:val="24"/>
              </w:rPr>
            </w:pPr>
          </w:p>
        </w:tc>
        <w:tc>
          <w:tcPr>
            <w:tcW w:w="94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right="42" w:rightChars="20"/>
              <w:jc w:val="left"/>
              <w:rPr>
                <w:rFonts w:hint="eastAsia" w:ascii="宋体" w:hAnsi="宋体" w:cs="仿宋_GB2312"/>
                <w:color w:val="000000"/>
                <w:kern w:val="0"/>
                <w:sz w:val="24"/>
              </w:rPr>
            </w:pPr>
            <w:r>
              <w:rPr>
                <w:rFonts w:hint="eastAsia" w:ascii="宋体" w:hAnsi="宋体" w:cs="仿宋_GB2312"/>
                <w:color w:val="000000"/>
                <w:kern w:val="0"/>
                <w:sz w:val="24"/>
              </w:rPr>
              <w:t>5.</w:t>
            </w:r>
            <w:r>
              <w:rPr>
                <w:rFonts w:hint="eastAsia" w:ascii="宋体" w:hAnsi="宋体"/>
                <w:color w:val="000000"/>
                <w:sz w:val="24"/>
              </w:rPr>
              <w:t>※</w:t>
            </w:r>
            <w:r>
              <w:rPr>
                <w:rFonts w:hint="eastAsia" w:ascii="宋体" w:hAnsi="宋体" w:cs="仿宋_GB2312"/>
                <w:color w:val="000000"/>
                <w:kern w:val="0"/>
                <w:sz w:val="24"/>
              </w:rPr>
              <w:t>通过采用透明玻璃窗(或玻璃幕墙)、视频显示、隔断矮墙或设置参观窗口等方式方法，将餐饮服务关键部位与环节均进行展示。</w:t>
            </w:r>
          </w:p>
        </w:tc>
        <w:tc>
          <w:tcPr>
            <w:tcW w:w="870" w:type="dxa"/>
            <w:tcBorders>
              <w:top w:val="single" w:color="auto" w:sz="4" w:space="0"/>
              <w:left w:val="single" w:color="auto" w:sz="4" w:space="0"/>
              <w:bottom w:val="single" w:color="auto" w:sz="4" w:space="0"/>
              <w:right w:val="single" w:color="auto" w:sz="4" w:space="0"/>
            </w:tcBorders>
          </w:tcPr>
          <w:p>
            <w:pPr>
              <w:spacing w:line="320" w:lineRule="exact"/>
              <w:ind w:firstLine="482"/>
              <w:jc w:val="right"/>
              <w:rPr>
                <w:rFonts w:hint="eastAsia" w:ascii="宋体" w:hAnsi="宋体"/>
                <w:b/>
                <w:color w:val="000000"/>
                <w:sz w:val="24"/>
              </w:rPr>
            </w:pPr>
          </w:p>
          <w:p>
            <w:pPr>
              <w:spacing w:line="320" w:lineRule="exact"/>
              <w:ind w:firstLine="482"/>
              <w:jc w:val="right"/>
              <w:rPr>
                <w:rFonts w:hint="eastAsia" w:ascii="宋体" w:hAnsi="宋体"/>
                <w:b/>
                <w:color w:val="000000"/>
                <w:sz w:val="24"/>
              </w:rPr>
            </w:pPr>
            <w:r>
              <w:rPr>
                <w:rFonts w:hint="eastAsia" w:ascii="宋体" w:hAnsi="宋体"/>
                <w:b/>
                <w:color w:val="000000"/>
                <w:sz w:val="24"/>
              </w:rPr>
              <w:t>1</w:t>
            </w:r>
          </w:p>
        </w:tc>
        <w:tc>
          <w:tcPr>
            <w:tcW w:w="1365"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384"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hint="eastAsia" w:ascii="宋体" w:hAnsi="宋体"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restart"/>
            <w:tcBorders>
              <w:top w:val="single" w:color="auto" w:sz="4" w:space="0"/>
              <w:left w:val="single" w:color="auto" w:sz="4" w:space="0"/>
              <w:right w:val="single" w:color="auto" w:sz="4" w:space="0"/>
            </w:tcBorders>
            <w:vAlign w:val="center"/>
          </w:tcPr>
          <w:p>
            <w:pPr>
              <w:spacing w:line="320" w:lineRule="exact"/>
              <w:rPr>
                <w:rFonts w:hint="eastAsia" w:ascii="宋体" w:hAnsi="宋体"/>
                <w:b/>
                <w:bCs/>
                <w:color w:val="000000"/>
                <w:sz w:val="24"/>
              </w:rPr>
            </w:pPr>
            <w:r>
              <w:rPr>
                <w:rFonts w:hint="eastAsia" w:ascii="宋体" w:hAnsi="宋体"/>
                <w:b/>
                <w:bCs/>
                <w:color w:val="000000"/>
                <w:sz w:val="24"/>
              </w:rPr>
              <w:t>管理要求</w:t>
            </w:r>
          </w:p>
        </w:tc>
        <w:tc>
          <w:tcPr>
            <w:tcW w:w="94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right="42" w:rightChars="20"/>
              <w:jc w:val="left"/>
              <w:rPr>
                <w:rFonts w:hint="eastAsia" w:ascii="宋体" w:hAnsi="宋体" w:cs="仿宋_GB2312"/>
                <w:color w:val="000000"/>
                <w:kern w:val="0"/>
                <w:sz w:val="24"/>
              </w:rPr>
            </w:pPr>
            <w:r>
              <w:rPr>
                <w:rFonts w:hint="eastAsia" w:ascii="宋体" w:hAnsi="宋体" w:cs="仿宋_GB2312"/>
                <w:color w:val="000000"/>
                <w:kern w:val="0"/>
                <w:sz w:val="24"/>
              </w:rPr>
              <w:t>6.建立食品安全自查制度，对食品安全状况进行检查评价形成书面记录</w:t>
            </w:r>
          </w:p>
        </w:tc>
        <w:tc>
          <w:tcPr>
            <w:tcW w:w="870" w:type="dxa"/>
            <w:tcBorders>
              <w:top w:val="single" w:color="auto" w:sz="4" w:space="0"/>
              <w:left w:val="single" w:color="auto" w:sz="4" w:space="0"/>
              <w:bottom w:val="single" w:color="auto" w:sz="4" w:space="0"/>
              <w:right w:val="single" w:color="auto" w:sz="4" w:space="0"/>
            </w:tcBorders>
          </w:tcPr>
          <w:p>
            <w:pPr>
              <w:spacing w:line="320" w:lineRule="exact"/>
              <w:ind w:firstLine="482"/>
              <w:jc w:val="right"/>
              <w:rPr>
                <w:rFonts w:hint="eastAsia" w:ascii="宋体" w:hAnsi="宋体"/>
                <w:b/>
                <w:color w:val="000000"/>
                <w:sz w:val="24"/>
              </w:rPr>
            </w:pPr>
          </w:p>
          <w:p>
            <w:pPr>
              <w:spacing w:line="320" w:lineRule="exact"/>
              <w:ind w:firstLine="482"/>
              <w:jc w:val="right"/>
              <w:rPr>
                <w:rFonts w:hint="eastAsia" w:ascii="宋体" w:hAnsi="宋体"/>
                <w:b/>
                <w:color w:val="000000"/>
                <w:sz w:val="24"/>
              </w:rPr>
            </w:pPr>
            <w:r>
              <w:rPr>
                <w:rFonts w:hint="eastAsia" w:ascii="宋体" w:hAnsi="宋体"/>
                <w:b/>
                <w:color w:val="000000"/>
                <w:sz w:val="24"/>
              </w:rPr>
              <w:t>1</w:t>
            </w:r>
          </w:p>
        </w:tc>
        <w:tc>
          <w:tcPr>
            <w:tcW w:w="1365"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38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8" w:type="dxa"/>
            <w:vMerge w:val="continue"/>
            <w:tcBorders>
              <w:left w:val="single" w:color="auto" w:sz="4" w:space="0"/>
              <w:right w:val="single" w:color="auto" w:sz="4" w:space="0"/>
            </w:tcBorders>
            <w:vAlign w:val="center"/>
          </w:tcPr>
          <w:p>
            <w:pPr>
              <w:spacing w:line="320" w:lineRule="exact"/>
              <w:rPr>
                <w:rFonts w:ascii="宋体" w:hAnsi="宋体"/>
                <w:b/>
                <w:bCs/>
                <w:color w:val="000000"/>
                <w:sz w:val="24"/>
              </w:rPr>
            </w:pPr>
          </w:p>
        </w:tc>
        <w:tc>
          <w:tcPr>
            <w:tcW w:w="94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right="42" w:rightChars="20"/>
              <w:jc w:val="left"/>
              <w:rPr>
                <w:rFonts w:hint="eastAsia" w:ascii="宋体" w:hAnsi="宋体" w:cs="仿宋_GB2312"/>
                <w:color w:val="000000"/>
                <w:kern w:val="0"/>
                <w:sz w:val="24"/>
              </w:rPr>
            </w:pPr>
            <w:r>
              <w:rPr>
                <w:rFonts w:hint="eastAsia" w:ascii="宋体" w:hAnsi="宋体" w:cs="仿宋_GB2312"/>
                <w:color w:val="000000"/>
                <w:kern w:val="0"/>
                <w:sz w:val="24"/>
              </w:rPr>
              <w:t>7.接触直接入口食品的人员持有有效健康证；从事食品加工经营活动时穿戴整洁，双手洗净，保持个人卫生；对患有有碍食品安全疾病的人员不得加工食品；从业人员经过食品安全知识培训合格、熟悉食品安全知识★</w:t>
            </w:r>
          </w:p>
        </w:tc>
        <w:tc>
          <w:tcPr>
            <w:tcW w:w="870" w:type="dxa"/>
            <w:tcBorders>
              <w:top w:val="single" w:color="auto" w:sz="4" w:space="0"/>
              <w:left w:val="single" w:color="auto" w:sz="4" w:space="0"/>
              <w:bottom w:val="single" w:color="auto" w:sz="4" w:space="0"/>
              <w:right w:val="single" w:color="auto" w:sz="4" w:space="0"/>
            </w:tcBorders>
          </w:tcPr>
          <w:p>
            <w:pPr>
              <w:spacing w:line="320" w:lineRule="exact"/>
              <w:ind w:firstLine="482"/>
              <w:jc w:val="right"/>
              <w:rPr>
                <w:rFonts w:hint="eastAsia" w:ascii="宋体" w:hAnsi="宋体"/>
                <w:b/>
                <w:color w:val="000000"/>
                <w:sz w:val="24"/>
              </w:rPr>
            </w:pPr>
          </w:p>
          <w:p>
            <w:pPr>
              <w:spacing w:line="320" w:lineRule="exact"/>
              <w:ind w:firstLine="482"/>
              <w:jc w:val="right"/>
              <w:rPr>
                <w:rFonts w:hint="eastAsia" w:ascii="宋体" w:hAnsi="宋体"/>
                <w:b/>
                <w:color w:val="000000"/>
                <w:sz w:val="24"/>
              </w:rPr>
            </w:pPr>
            <w:r>
              <w:rPr>
                <w:rFonts w:hint="eastAsia" w:ascii="宋体" w:hAnsi="宋体"/>
                <w:b/>
                <w:color w:val="000000"/>
                <w:sz w:val="24"/>
              </w:rPr>
              <w:t>2</w:t>
            </w:r>
          </w:p>
        </w:tc>
        <w:tc>
          <w:tcPr>
            <w:tcW w:w="1365"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38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48" w:type="dxa"/>
            <w:tcBorders>
              <w:top w:val="single" w:color="auto" w:sz="4" w:space="0"/>
              <w:left w:val="single" w:color="auto" w:sz="4" w:space="0"/>
              <w:right w:val="single" w:color="auto" w:sz="4" w:space="0"/>
            </w:tcBorders>
            <w:vAlign w:val="center"/>
          </w:tcPr>
          <w:p>
            <w:pPr>
              <w:spacing w:line="320" w:lineRule="exact"/>
              <w:rPr>
                <w:rFonts w:ascii="宋体" w:hAnsi="宋体"/>
                <w:b/>
                <w:bCs/>
                <w:color w:val="000000"/>
                <w:sz w:val="24"/>
              </w:rPr>
            </w:pPr>
            <w:r>
              <w:rPr>
                <w:rFonts w:hint="eastAsia" w:ascii="宋体" w:hAnsi="宋体"/>
                <w:b/>
                <w:bCs/>
                <w:color w:val="000000"/>
                <w:sz w:val="24"/>
              </w:rPr>
              <w:t>环境</w:t>
            </w:r>
          </w:p>
          <w:p>
            <w:pPr>
              <w:spacing w:line="320" w:lineRule="exact"/>
              <w:rPr>
                <w:rFonts w:ascii="宋体" w:hAnsi="宋体"/>
                <w:b/>
                <w:bCs/>
                <w:color w:val="000000"/>
                <w:sz w:val="24"/>
              </w:rPr>
            </w:pPr>
            <w:r>
              <w:rPr>
                <w:rFonts w:hint="eastAsia" w:ascii="宋体" w:hAnsi="宋体"/>
                <w:b/>
                <w:bCs/>
                <w:color w:val="000000"/>
                <w:sz w:val="24"/>
              </w:rPr>
              <w:t>卫生</w:t>
            </w:r>
          </w:p>
        </w:tc>
        <w:tc>
          <w:tcPr>
            <w:tcW w:w="94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right="42" w:rightChars="20"/>
              <w:jc w:val="left"/>
              <w:rPr>
                <w:rFonts w:hint="eastAsia" w:ascii="宋体" w:hAnsi="宋体" w:cs="仿宋_GB2312"/>
                <w:color w:val="000000"/>
                <w:kern w:val="0"/>
                <w:sz w:val="24"/>
              </w:rPr>
            </w:pPr>
            <w:r>
              <w:rPr>
                <w:rFonts w:hint="eastAsia" w:ascii="宋体" w:hAnsi="宋体" w:cs="仿宋_GB2312"/>
                <w:color w:val="000000"/>
                <w:kern w:val="0"/>
                <w:sz w:val="24"/>
              </w:rPr>
              <w:t>8.经营场所保持清洁、卫生，地面、墙壁、天花板和门窗等洁净；排水沟渠畅通，垃圾和废弃物及时清理；无昆虫、鼠害；从业个人用品、厨房杂物、拖把等清洁工具、用具清洗水池（容器），不会污染食品及其加工制作过程</w:t>
            </w:r>
          </w:p>
        </w:tc>
        <w:tc>
          <w:tcPr>
            <w:tcW w:w="870" w:type="dxa"/>
            <w:tcBorders>
              <w:top w:val="single" w:color="auto" w:sz="4" w:space="0"/>
              <w:left w:val="single" w:color="auto" w:sz="4" w:space="0"/>
              <w:bottom w:val="single" w:color="auto" w:sz="4" w:space="0"/>
              <w:right w:val="single" w:color="auto" w:sz="4" w:space="0"/>
            </w:tcBorders>
          </w:tcPr>
          <w:p>
            <w:pPr>
              <w:spacing w:line="320" w:lineRule="exact"/>
              <w:ind w:firstLine="482"/>
              <w:jc w:val="right"/>
              <w:rPr>
                <w:rFonts w:hint="eastAsia" w:ascii="宋体" w:hAnsi="宋体"/>
                <w:b/>
                <w:color w:val="000000"/>
                <w:sz w:val="24"/>
              </w:rPr>
            </w:pPr>
          </w:p>
          <w:p>
            <w:pPr>
              <w:spacing w:line="320" w:lineRule="exact"/>
              <w:ind w:right="240" w:firstLine="482"/>
              <w:jc w:val="right"/>
              <w:rPr>
                <w:rFonts w:hint="eastAsia" w:ascii="宋体" w:hAnsi="宋体"/>
                <w:b/>
                <w:color w:val="000000"/>
                <w:sz w:val="24"/>
              </w:rPr>
            </w:pPr>
            <w:r>
              <w:rPr>
                <w:rFonts w:hint="eastAsia" w:ascii="宋体" w:hAnsi="宋体"/>
                <w:b/>
                <w:color w:val="000000"/>
                <w:sz w:val="24"/>
              </w:rPr>
              <w:t>5</w:t>
            </w:r>
          </w:p>
        </w:tc>
        <w:tc>
          <w:tcPr>
            <w:tcW w:w="1365"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384"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4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bCs/>
                <w:color w:val="000000"/>
                <w:sz w:val="24"/>
              </w:rPr>
            </w:pPr>
            <w:r>
              <w:rPr>
                <w:rFonts w:hint="eastAsia" w:ascii="宋体" w:hAnsi="宋体" w:cs="宋体"/>
                <w:b/>
                <w:bCs/>
                <w:color w:val="000000"/>
                <w:kern w:val="0"/>
                <w:sz w:val="24"/>
              </w:rPr>
              <w:t>原料控制</w:t>
            </w:r>
          </w:p>
        </w:tc>
        <w:tc>
          <w:tcPr>
            <w:tcW w:w="9459" w:type="dxa"/>
            <w:tcBorders>
              <w:top w:val="single" w:color="auto" w:sz="4" w:space="0"/>
              <w:left w:val="single" w:color="auto" w:sz="4" w:space="0"/>
              <w:bottom w:val="single" w:color="auto" w:sz="4" w:space="0"/>
              <w:right w:val="single" w:color="auto" w:sz="4" w:space="0"/>
            </w:tcBorders>
          </w:tcPr>
          <w:p>
            <w:pPr>
              <w:autoSpaceDE w:val="0"/>
              <w:autoSpaceDN w:val="0"/>
              <w:spacing w:line="320" w:lineRule="exact"/>
              <w:ind w:right="42" w:rightChars="20"/>
              <w:jc w:val="left"/>
              <w:rPr>
                <w:rFonts w:hint="eastAsia" w:ascii="宋体" w:hAnsi="宋体" w:cs="仿宋_GB2312"/>
                <w:color w:val="000000"/>
                <w:kern w:val="0"/>
                <w:sz w:val="24"/>
              </w:rPr>
            </w:pPr>
            <w:r>
              <w:rPr>
                <w:rFonts w:hint="eastAsia" w:ascii="宋体" w:hAnsi="宋体" w:cs="仿宋_GB2312"/>
                <w:color w:val="000000"/>
                <w:kern w:val="0"/>
                <w:sz w:val="24"/>
              </w:rPr>
              <w:t>9.小餐饮购进食品和食品原料，应当查验供货者的许可证照，建立采购记录，并妥善保存有关票据凭证，保存期限不得少于使用完毕后3个月。</w:t>
            </w:r>
          </w:p>
          <w:p>
            <w:pPr>
              <w:autoSpaceDE w:val="0"/>
              <w:autoSpaceDN w:val="0"/>
              <w:spacing w:line="320" w:lineRule="exact"/>
              <w:ind w:right="42" w:rightChars="20" w:firstLine="240" w:firstLineChars="100"/>
              <w:jc w:val="left"/>
              <w:rPr>
                <w:rFonts w:hint="eastAsia" w:ascii="宋体" w:hAnsi="宋体" w:cs="仿宋_GB2312"/>
                <w:color w:val="000000"/>
                <w:kern w:val="0"/>
                <w:sz w:val="24"/>
              </w:rPr>
            </w:pPr>
            <w:r>
              <w:rPr>
                <w:rFonts w:hint="eastAsia" w:ascii="宋体" w:hAnsi="宋体" w:cs="仿宋_GB2312"/>
                <w:color w:val="000000"/>
                <w:kern w:val="0"/>
                <w:sz w:val="24"/>
              </w:rPr>
              <w:t>购置、使用集中消毒企业供应的餐饮具，应按规定查验其经营资质，索取消毒合格凭证和供货票据。</w:t>
            </w:r>
          </w:p>
        </w:tc>
        <w:tc>
          <w:tcPr>
            <w:tcW w:w="87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ascii="宋体" w:hAnsi="宋体"/>
                <w:b/>
                <w:color w:val="000000"/>
                <w:sz w:val="24"/>
              </w:rPr>
            </w:pPr>
            <w:r>
              <w:rPr>
                <w:rFonts w:hint="eastAsia" w:ascii="宋体" w:hAnsi="宋体"/>
                <w:b/>
                <w:color w:val="000000"/>
                <w:sz w:val="24"/>
              </w:rPr>
              <w:t>5</w:t>
            </w:r>
          </w:p>
        </w:tc>
        <w:tc>
          <w:tcPr>
            <w:tcW w:w="1365"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38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b/>
                <w:bCs/>
                <w:color w:val="000000"/>
                <w:sz w:val="24"/>
              </w:rPr>
            </w:pPr>
          </w:p>
        </w:tc>
        <w:tc>
          <w:tcPr>
            <w:tcW w:w="9459" w:type="dxa"/>
            <w:tcBorders>
              <w:top w:val="single" w:color="auto" w:sz="4" w:space="0"/>
              <w:left w:val="single" w:color="auto" w:sz="4" w:space="0"/>
              <w:bottom w:val="single" w:color="auto" w:sz="4" w:space="0"/>
              <w:right w:val="single" w:color="auto" w:sz="4" w:space="0"/>
            </w:tcBorders>
          </w:tcPr>
          <w:p>
            <w:pPr>
              <w:autoSpaceDE w:val="0"/>
              <w:autoSpaceDN w:val="0"/>
              <w:spacing w:line="320" w:lineRule="exact"/>
              <w:ind w:right="42" w:rightChars="20"/>
              <w:jc w:val="left"/>
              <w:rPr>
                <w:rFonts w:hint="eastAsia" w:ascii="宋体" w:hAnsi="宋体" w:cs="仿宋_GB2312"/>
                <w:color w:val="000000"/>
                <w:kern w:val="0"/>
                <w:sz w:val="24"/>
              </w:rPr>
            </w:pPr>
            <w:r>
              <w:rPr>
                <w:rFonts w:hint="eastAsia" w:ascii="宋体" w:hAnsi="宋体" w:cs="仿宋_GB2312"/>
                <w:color w:val="000000"/>
                <w:kern w:val="0"/>
                <w:sz w:val="24"/>
              </w:rPr>
              <w:t>10.原料外包装符合标签要求；有毒有害物质不得一同存放，按食品安全要求贮存；用于餐饮加工操作的工具、设备和贮存食品的容器符合安全要求。</w:t>
            </w:r>
          </w:p>
        </w:tc>
        <w:tc>
          <w:tcPr>
            <w:tcW w:w="87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ascii="宋体" w:hAnsi="宋体"/>
                <w:b/>
                <w:color w:val="000000"/>
                <w:sz w:val="24"/>
              </w:rPr>
            </w:pPr>
            <w:r>
              <w:rPr>
                <w:rFonts w:hint="eastAsia" w:ascii="宋体" w:hAnsi="宋体"/>
                <w:b/>
                <w:color w:val="000000"/>
                <w:sz w:val="24"/>
              </w:rPr>
              <w:t>1</w:t>
            </w:r>
          </w:p>
        </w:tc>
        <w:tc>
          <w:tcPr>
            <w:tcW w:w="1365"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384"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48" w:type="dxa"/>
            <w:vMerge w:val="restart"/>
            <w:tcBorders>
              <w:top w:val="single" w:color="auto" w:sz="4" w:space="0"/>
              <w:left w:val="single" w:color="auto" w:sz="4" w:space="0"/>
              <w:right w:val="single" w:color="auto" w:sz="4" w:space="0"/>
            </w:tcBorders>
            <w:vAlign w:val="center"/>
          </w:tcPr>
          <w:p>
            <w:pPr>
              <w:spacing w:line="320" w:lineRule="exact"/>
              <w:rPr>
                <w:rFonts w:ascii="宋体" w:hAnsi="宋体"/>
                <w:b/>
                <w:bCs/>
                <w:color w:val="000000"/>
                <w:sz w:val="24"/>
              </w:rPr>
            </w:pPr>
            <w:r>
              <w:rPr>
                <w:rFonts w:hint="eastAsia" w:ascii="宋体" w:hAnsi="宋体"/>
                <w:b/>
                <w:bCs/>
                <w:color w:val="000000"/>
                <w:sz w:val="24"/>
              </w:rPr>
              <w:t>加工</w:t>
            </w:r>
          </w:p>
          <w:p>
            <w:pPr>
              <w:spacing w:line="320" w:lineRule="exact"/>
              <w:rPr>
                <w:rFonts w:ascii="宋体" w:hAnsi="宋体"/>
                <w:b/>
                <w:bCs/>
                <w:color w:val="000000"/>
                <w:sz w:val="24"/>
              </w:rPr>
            </w:pPr>
            <w:r>
              <w:rPr>
                <w:rFonts w:hint="eastAsia" w:ascii="宋体" w:hAnsi="宋体"/>
                <w:b/>
                <w:bCs/>
                <w:color w:val="000000"/>
                <w:sz w:val="24"/>
              </w:rPr>
              <w:t>过程</w:t>
            </w:r>
          </w:p>
        </w:tc>
        <w:tc>
          <w:tcPr>
            <w:tcW w:w="94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right="42" w:rightChars="20"/>
              <w:jc w:val="left"/>
              <w:rPr>
                <w:rFonts w:hint="eastAsia" w:ascii="宋体" w:hAnsi="宋体" w:cs="仿宋_GB2312"/>
                <w:color w:val="000000"/>
                <w:kern w:val="0"/>
                <w:sz w:val="24"/>
              </w:rPr>
            </w:pPr>
            <w:r>
              <w:rPr>
                <w:rFonts w:hint="eastAsia" w:ascii="宋体" w:hAnsi="宋体" w:cs="仿宋_GB2312"/>
                <w:color w:val="000000"/>
                <w:kern w:val="0"/>
                <w:sz w:val="24"/>
              </w:rPr>
              <w:t>11.食品成品（即食食品）存放的温度和时间符合要求。</w:t>
            </w:r>
          </w:p>
        </w:tc>
        <w:tc>
          <w:tcPr>
            <w:tcW w:w="870" w:type="dxa"/>
            <w:tcBorders>
              <w:top w:val="single" w:color="auto" w:sz="4" w:space="0"/>
              <w:left w:val="single" w:color="auto" w:sz="4" w:space="0"/>
              <w:bottom w:val="single" w:color="auto" w:sz="4" w:space="0"/>
              <w:right w:val="single" w:color="auto" w:sz="4" w:space="0"/>
            </w:tcBorders>
          </w:tcPr>
          <w:p>
            <w:pPr>
              <w:spacing w:line="320" w:lineRule="exact"/>
              <w:ind w:firstLine="482"/>
              <w:jc w:val="right"/>
              <w:rPr>
                <w:rFonts w:ascii="宋体" w:hAnsi="宋体"/>
                <w:b/>
                <w:color w:val="000000"/>
                <w:sz w:val="24"/>
              </w:rPr>
            </w:pPr>
            <w:r>
              <w:rPr>
                <w:rFonts w:hint="eastAsia" w:ascii="宋体" w:hAnsi="宋体"/>
                <w:b/>
                <w:color w:val="000000"/>
                <w:sz w:val="24"/>
              </w:rPr>
              <w:t>2</w:t>
            </w:r>
          </w:p>
        </w:tc>
        <w:tc>
          <w:tcPr>
            <w:tcW w:w="1365"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384"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right w:val="single" w:color="auto" w:sz="4" w:space="0"/>
            </w:tcBorders>
            <w:vAlign w:val="center"/>
          </w:tcPr>
          <w:p>
            <w:pPr>
              <w:widowControl/>
              <w:spacing w:line="320" w:lineRule="exact"/>
              <w:jc w:val="left"/>
              <w:rPr>
                <w:rFonts w:ascii="宋体" w:hAnsi="宋体"/>
                <w:b/>
                <w:bCs/>
                <w:color w:val="000000"/>
                <w:sz w:val="24"/>
              </w:rPr>
            </w:pPr>
          </w:p>
        </w:tc>
        <w:tc>
          <w:tcPr>
            <w:tcW w:w="9459" w:type="dxa"/>
            <w:tcBorders>
              <w:top w:val="single" w:color="auto" w:sz="4" w:space="0"/>
              <w:left w:val="single" w:color="auto" w:sz="4" w:space="0"/>
              <w:bottom w:val="single" w:color="auto" w:sz="4" w:space="0"/>
              <w:right w:val="single" w:color="auto" w:sz="4" w:space="0"/>
            </w:tcBorders>
          </w:tcPr>
          <w:p>
            <w:pPr>
              <w:widowControl/>
              <w:shd w:val="clear" w:color="auto" w:fill="FFFFFF"/>
              <w:rPr>
                <w:rFonts w:hint="eastAsia" w:ascii="宋体" w:hAnsi="宋体" w:cs="仿宋_GB2312"/>
                <w:color w:val="000000"/>
                <w:kern w:val="0"/>
                <w:sz w:val="24"/>
              </w:rPr>
            </w:pPr>
            <w:r>
              <w:rPr>
                <w:rFonts w:hint="eastAsia" w:ascii="宋体" w:hAnsi="宋体" w:cs="仿宋_GB2312"/>
                <w:color w:val="000000"/>
                <w:kern w:val="0"/>
                <w:sz w:val="24"/>
              </w:rPr>
              <w:t>12★不使用、加工、经营非食品原料生产的食品或者添加食品添加剂以外的含有毒、有害化学物质和其他可能危害人体健康物质的食品，或者用回收食品作为原料生产的食品；</w:t>
            </w:r>
          </w:p>
        </w:tc>
        <w:tc>
          <w:tcPr>
            <w:tcW w:w="870" w:type="dxa"/>
            <w:tcBorders>
              <w:top w:val="single" w:color="auto" w:sz="4" w:space="0"/>
              <w:left w:val="single" w:color="auto" w:sz="4" w:space="0"/>
              <w:bottom w:val="single" w:color="auto" w:sz="4" w:space="0"/>
              <w:right w:val="single" w:color="auto" w:sz="4" w:space="0"/>
            </w:tcBorders>
            <w:vAlign w:val="center"/>
          </w:tcPr>
          <w:p>
            <w:pPr>
              <w:spacing w:line="320" w:lineRule="exact"/>
              <w:ind w:right="46"/>
              <w:rPr>
                <w:rFonts w:ascii="宋体" w:hAnsi="宋体"/>
                <w:b/>
                <w:color w:val="000000"/>
                <w:sz w:val="24"/>
              </w:rPr>
            </w:pPr>
            <w:r>
              <w:rPr>
                <w:rFonts w:hint="eastAsia" w:ascii="宋体" w:hAnsi="宋体"/>
                <w:b/>
                <w:color w:val="000000"/>
                <w:sz w:val="24"/>
              </w:rPr>
              <w:t xml:space="preserve">   20</w:t>
            </w:r>
          </w:p>
        </w:tc>
        <w:tc>
          <w:tcPr>
            <w:tcW w:w="1365"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bCs/>
                <w:color w:val="000000"/>
                <w:sz w:val="24"/>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right w:val="single" w:color="auto" w:sz="4" w:space="0"/>
            </w:tcBorders>
            <w:vAlign w:val="center"/>
          </w:tcPr>
          <w:p>
            <w:pPr>
              <w:widowControl/>
              <w:spacing w:line="320" w:lineRule="exact"/>
              <w:jc w:val="left"/>
              <w:rPr>
                <w:rFonts w:ascii="宋体" w:hAnsi="宋体"/>
                <w:b/>
                <w:bCs/>
                <w:color w:val="000000"/>
                <w:sz w:val="24"/>
              </w:rPr>
            </w:pPr>
          </w:p>
        </w:tc>
        <w:tc>
          <w:tcPr>
            <w:tcW w:w="9459" w:type="dxa"/>
            <w:tcBorders>
              <w:top w:val="single" w:color="auto" w:sz="4" w:space="0"/>
              <w:left w:val="single" w:color="auto" w:sz="4" w:space="0"/>
              <w:bottom w:val="single" w:color="auto" w:sz="4" w:space="0"/>
              <w:right w:val="single" w:color="auto" w:sz="4" w:space="0"/>
            </w:tcBorders>
          </w:tcPr>
          <w:p>
            <w:pPr>
              <w:pStyle w:val="25"/>
              <w:widowControl/>
              <w:shd w:val="clear" w:color="auto" w:fill="FFFFFF"/>
              <w:spacing w:beforeAutospacing="0" w:afterAutospacing="0" w:line="400" w:lineRule="exact"/>
              <w:jc w:val="both"/>
              <w:rPr>
                <w:rFonts w:hint="eastAsia" w:ascii="宋体" w:hAnsi="宋体" w:cs="仿宋_GB2312"/>
                <w:color w:val="000000"/>
              </w:rPr>
            </w:pPr>
            <w:r>
              <w:rPr>
                <w:rFonts w:hint="eastAsia" w:ascii="宋体" w:hAnsi="宋体" w:cs="仿宋_GB2312"/>
                <w:color w:val="000000"/>
              </w:rPr>
              <w:t>13.不使用超过保质期、腐败变质、油脂酸败、霉变生虫、污秽不洁、混有异物、掺假掺杂或者感官性状异常的食品、食品添加剂，以及其他国家禁止生产经营的食品及原料。</w:t>
            </w:r>
          </w:p>
        </w:tc>
        <w:tc>
          <w:tcPr>
            <w:tcW w:w="87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54" w:firstLineChars="147"/>
              <w:jc w:val="right"/>
              <w:rPr>
                <w:rFonts w:ascii="宋体" w:hAnsi="宋体"/>
                <w:b/>
                <w:color w:val="000000"/>
                <w:sz w:val="24"/>
              </w:rPr>
            </w:pPr>
            <w:r>
              <w:rPr>
                <w:rFonts w:hint="eastAsia" w:ascii="宋体" w:hAnsi="宋体"/>
                <w:b/>
                <w:color w:val="000000"/>
                <w:sz w:val="24"/>
              </w:rPr>
              <w:t>5</w:t>
            </w:r>
          </w:p>
        </w:tc>
        <w:tc>
          <w:tcPr>
            <w:tcW w:w="1365"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3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right w:val="single" w:color="auto" w:sz="4" w:space="0"/>
            </w:tcBorders>
            <w:vAlign w:val="center"/>
          </w:tcPr>
          <w:p>
            <w:pPr>
              <w:widowControl/>
              <w:spacing w:line="320" w:lineRule="exact"/>
              <w:jc w:val="left"/>
              <w:rPr>
                <w:rFonts w:ascii="宋体" w:hAnsi="宋体"/>
                <w:b/>
                <w:bCs/>
                <w:color w:val="000000"/>
                <w:sz w:val="24"/>
              </w:rPr>
            </w:pPr>
          </w:p>
        </w:tc>
        <w:tc>
          <w:tcPr>
            <w:tcW w:w="9459" w:type="dxa"/>
            <w:tcBorders>
              <w:top w:val="single" w:color="auto" w:sz="4" w:space="0"/>
              <w:left w:val="single" w:color="auto" w:sz="4" w:space="0"/>
              <w:bottom w:val="single" w:color="auto" w:sz="4" w:space="0"/>
              <w:right w:val="single" w:color="auto" w:sz="4" w:space="0"/>
            </w:tcBorders>
          </w:tcPr>
          <w:p>
            <w:pPr>
              <w:autoSpaceDE w:val="0"/>
              <w:autoSpaceDN w:val="0"/>
              <w:spacing w:line="320" w:lineRule="exact"/>
              <w:ind w:right="42" w:rightChars="20"/>
              <w:jc w:val="left"/>
              <w:rPr>
                <w:rFonts w:hint="eastAsia" w:ascii="宋体" w:hAnsi="宋体" w:cs="仿宋_GB2312"/>
                <w:color w:val="000000"/>
                <w:kern w:val="0"/>
                <w:sz w:val="24"/>
              </w:rPr>
            </w:pPr>
            <w:r>
              <w:rPr>
                <w:rFonts w:hint="eastAsia" w:ascii="宋体" w:hAnsi="宋体" w:cs="仿宋_GB2312"/>
                <w:color w:val="000000"/>
                <w:kern w:val="0"/>
                <w:sz w:val="24"/>
              </w:rPr>
              <w:t>14.食品原料、半成品与成品在盛放、贮存时应相互分开，没有受到人员或污垢等污染；餐具、食品或已盛装食品的容器不得直接置于地上。</w:t>
            </w:r>
          </w:p>
        </w:tc>
        <w:tc>
          <w:tcPr>
            <w:tcW w:w="870" w:type="dxa"/>
            <w:tcBorders>
              <w:top w:val="single" w:color="auto" w:sz="4" w:space="0"/>
              <w:left w:val="single" w:color="auto" w:sz="4" w:space="0"/>
              <w:bottom w:val="single" w:color="auto" w:sz="4" w:space="0"/>
              <w:right w:val="single" w:color="auto" w:sz="4" w:space="0"/>
            </w:tcBorders>
          </w:tcPr>
          <w:p>
            <w:pPr>
              <w:spacing w:line="320" w:lineRule="exact"/>
              <w:ind w:firstLine="354" w:firstLineChars="147"/>
              <w:jc w:val="right"/>
              <w:rPr>
                <w:rFonts w:ascii="宋体" w:hAnsi="宋体"/>
                <w:b/>
                <w:color w:val="000000"/>
                <w:sz w:val="24"/>
              </w:rPr>
            </w:pPr>
            <w:r>
              <w:rPr>
                <w:rFonts w:hint="eastAsia" w:ascii="宋体" w:hAnsi="宋体"/>
                <w:b/>
                <w:color w:val="000000"/>
                <w:sz w:val="24"/>
              </w:rPr>
              <w:t>2</w:t>
            </w:r>
          </w:p>
        </w:tc>
        <w:tc>
          <w:tcPr>
            <w:tcW w:w="1365"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384"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right w:val="single" w:color="auto" w:sz="4" w:space="0"/>
            </w:tcBorders>
            <w:vAlign w:val="center"/>
          </w:tcPr>
          <w:p>
            <w:pPr>
              <w:widowControl/>
              <w:spacing w:line="320" w:lineRule="exact"/>
              <w:jc w:val="left"/>
              <w:rPr>
                <w:rFonts w:ascii="宋体" w:hAnsi="宋体"/>
                <w:b/>
                <w:bCs/>
                <w:color w:val="000000"/>
                <w:sz w:val="24"/>
              </w:rPr>
            </w:pPr>
          </w:p>
        </w:tc>
        <w:tc>
          <w:tcPr>
            <w:tcW w:w="9459" w:type="dxa"/>
            <w:tcBorders>
              <w:top w:val="single" w:color="auto" w:sz="4" w:space="0"/>
              <w:left w:val="single" w:color="auto" w:sz="4" w:space="0"/>
              <w:bottom w:val="single" w:color="auto" w:sz="4" w:space="0"/>
              <w:right w:val="single" w:color="auto" w:sz="4" w:space="0"/>
            </w:tcBorders>
          </w:tcPr>
          <w:p>
            <w:pPr>
              <w:autoSpaceDE w:val="0"/>
              <w:autoSpaceDN w:val="0"/>
              <w:spacing w:line="320" w:lineRule="exact"/>
              <w:ind w:right="42" w:rightChars="20"/>
              <w:jc w:val="left"/>
              <w:rPr>
                <w:rFonts w:hint="eastAsia" w:ascii="宋体" w:hAnsi="宋体" w:cs="仿宋_GB2312"/>
                <w:color w:val="000000"/>
                <w:kern w:val="0"/>
                <w:sz w:val="24"/>
              </w:rPr>
            </w:pPr>
            <w:r>
              <w:rPr>
                <w:rFonts w:hint="eastAsia" w:ascii="宋体" w:hAnsi="宋体" w:cs="仿宋_GB2312"/>
                <w:color w:val="000000"/>
                <w:kern w:val="0"/>
                <w:sz w:val="24"/>
              </w:rPr>
              <w:t>15.食品添加剂无滥用现象，有专用存放设施。</w:t>
            </w:r>
          </w:p>
        </w:tc>
        <w:tc>
          <w:tcPr>
            <w:tcW w:w="870" w:type="dxa"/>
            <w:tcBorders>
              <w:top w:val="single" w:color="auto" w:sz="4" w:space="0"/>
              <w:left w:val="single" w:color="auto" w:sz="4" w:space="0"/>
              <w:bottom w:val="single" w:color="auto" w:sz="4" w:space="0"/>
              <w:right w:val="single" w:color="auto" w:sz="4" w:space="0"/>
            </w:tcBorders>
          </w:tcPr>
          <w:p>
            <w:pPr>
              <w:spacing w:line="320" w:lineRule="exact"/>
              <w:ind w:firstLine="482"/>
              <w:jc w:val="right"/>
              <w:rPr>
                <w:rFonts w:ascii="宋体" w:hAnsi="宋体"/>
                <w:b/>
                <w:color w:val="000000"/>
                <w:sz w:val="24"/>
              </w:rPr>
            </w:pPr>
            <w:r>
              <w:rPr>
                <w:rFonts w:hint="eastAsia" w:ascii="宋体" w:hAnsi="宋体"/>
                <w:b/>
                <w:color w:val="000000"/>
                <w:sz w:val="24"/>
              </w:rPr>
              <w:t>2</w:t>
            </w:r>
          </w:p>
        </w:tc>
        <w:tc>
          <w:tcPr>
            <w:tcW w:w="1365"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384"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b/>
                <w:bCs/>
                <w:color w:val="000000"/>
                <w:sz w:val="24"/>
              </w:rPr>
            </w:pPr>
            <w:r>
              <w:rPr>
                <w:rFonts w:hint="eastAsia" w:ascii="宋体" w:hAnsi="宋体"/>
                <w:b/>
                <w:bCs/>
                <w:color w:val="000000"/>
                <w:sz w:val="24"/>
              </w:rPr>
              <w:t>场所设施</w:t>
            </w:r>
          </w:p>
        </w:tc>
        <w:tc>
          <w:tcPr>
            <w:tcW w:w="9459" w:type="dxa"/>
            <w:tcBorders>
              <w:top w:val="single" w:color="auto" w:sz="4" w:space="0"/>
              <w:left w:val="single" w:color="auto" w:sz="4" w:space="0"/>
              <w:bottom w:val="single" w:color="auto" w:sz="4" w:space="0"/>
              <w:right w:val="single" w:color="auto" w:sz="4" w:space="0"/>
            </w:tcBorders>
          </w:tcPr>
          <w:p>
            <w:pPr>
              <w:autoSpaceDE w:val="0"/>
              <w:autoSpaceDN w:val="0"/>
              <w:spacing w:line="320" w:lineRule="exact"/>
              <w:ind w:right="42" w:rightChars="20"/>
              <w:jc w:val="left"/>
              <w:rPr>
                <w:rFonts w:hint="eastAsia" w:ascii="宋体" w:hAnsi="宋体" w:cs="仿宋_GB2312"/>
                <w:color w:val="000000"/>
                <w:kern w:val="0"/>
                <w:sz w:val="24"/>
              </w:rPr>
            </w:pPr>
            <w:r>
              <w:rPr>
                <w:rFonts w:hint="eastAsia" w:ascii="宋体" w:hAnsi="宋体" w:cs="仿宋_GB2312"/>
                <w:color w:val="000000"/>
                <w:kern w:val="0"/>
                <w:sz w:val="24"/>
              </w:rPr>
              <w:t>16.冷食类、生食类食品、裱花类糕点制作，应分开设置操作专间，</w:t>
            </w:r>
            <w:r>
              <w:rPr>
                <w:rFonts w:hint="eastAsia" w:ascii="宋体" w:hAnsi="宋体" w:cs="仿宋_GB2312"/>
                <w:color w:val="000000"/>
                <w:kern w:val="0"/>
                <w:sz w:val="24"/>
                <w:lang w:val="zh-CN"/>
              </w:rPr>
              <w:t>入口处设有正常使用的洗手、干手、消毒、更衣</w:t>
            </w:r>
            <w:r>
              <w:rPr>
                <w:rFonts w:hint="eastAsia" w:ascii="宋体" w:hAnsi="宋体" w:cs="仿宋_GB2312"/>
                <w:color w:val="000000"/>
                <w:kern w:val="0"/>
                <w:sz w:val="24"/>
              </w:rPr>
              <w:t>预进</w:t>
            </w:r>
            <w:r>
              <w:rPr>
                <w:rFonts w:hint="eastAsia" w:ascii="宋体" w:hAnsi="宋体" w:cs="仿宋_GB2312"/>
                <w:color w:val="000000"/>
                <w:kern w:val="0"/>
                <w:sz w:val="24"/>
                <w:lang w:val="zh-CN"/>
              </w:rPr>
              <w:t>设施。</w:t>
            </w:r>
            <w:r>
              <w:rPr>
                <w:rFonts w:hint="eastAsia" w:ascii="宋体" w:hAnsi="宋体" w:cs="仿宋_GB2312"/>
                <w:color w:val="000000"/>
                <w:kern w:val="0"/>
                <w:sz w:val="24"/>
              </w:rPr>
              <w:t>生食海产品还应相应设置前处理专用场所及相应设施（使用半成品的除外）</w:t>
            </w:r>
          </w:p>
        </w:tc>
        <w:tc>
          <w:tcPr>
            <w:tcW w:w="870" w:type="dxa"/>
            <w:tcBorders>
              <w:top w:val="single" w:color="auto" w:sz="4" w:space="0"/>
              <w:left w:val="single" w:color="auto" w:sz="4" w:space="0"/>
              <w:bottom w:val="single" w:color="auto" w:sz="4" w:space="0"/>
              <w:right w:val="single" w:color="auto" w:sz="4" w:space="0"/>
            </w:tcBorders>
          </w:tcPr>
          <w:p>
            <w:pPr>
              <w:spacing w:line="320" w:lineRule="exact"/>
              <w:ind w:firstLine="482"/>
              <w:jc w:val="right"/>
              <w:rPr>
                <w:rFonts w:hint="eastAsia" w:ascii="宋体" w:hAnsi="宋体"/>
                <w:b/>
                <w:color w:val="000000"/>
                <w:sz w:val="24"/>
              </w:rPr>
            </w:pPr>
          </w:p>
          <w:p>
            <w:pPr>
              <w:spacing w:line="320" w:lineRule="exact"/>
              <w:ind w:firstLine="482"/>
              <w:jc w:val="right"/>
              <w:rPr>
                <w:rFonts w:ascii="宋体" w:hAnsi="宋体"/>
                <w:b/>
                <w:color w:val="000000"/>
                <w:sz w:val="24"/>
              </w:rPr>
            </w:pPr>
            <w:r>
              <w:rPr>
                <w:rFonts w:hint="eastAsia" w:ascii="宋体" w:hAnsi="宋体"/>
                <w:b/>
                <w:color w:val="000000"/>
                <w:sz w:val="24"/>
              </w:rPr>
              <w:t>2</w:t>
            </w:r>
          </w:p>
        </w:tc>
        <w:tc>
          <w:tcPr>
            <w:tcW w:w="1365"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384"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right w:val="single" w:color="auto" w:sz="4" w:space="0"/>
            </w:tcBorders>
            <w:vAlign w:val="center"/>
          </w:tcPr>
          <w:p>
            <w:pPr>
              <w:spacing w:line="320" w:lineRule="exact"/>
              <w:jc w:val="center"/>
              <w:rPr>
                <w:rFonts w:ascii="宋体" w:hAnsi="宋体"/>
                <w:b/>
                <w:bCs/>
                <w:color w:val="000000"/>
                <w:sz w:val="24"/>
              </w:rPr>
            </w:pPr>
          </w:p>
        </w:tc>
        <w:tc>
          <w:tcPr>
            <w:tcW w:w="94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right="42" w:rightChars="20"/>
              <w:jc w:val="left"/>
              <w:rPr>
                <w:rFonts w:hint="eastAsia" w:ascii="宋体" w:hAnsi="宋体" w:cs="仿宋_GB2312"/>
                <w:color w:val="000000"/>
                <w:kern w:val="0"/>
                <w:sz w:val="24"/>
              </w:rPr>
            </w:pPr>
            <w:r>
              <w:rPr>
                <w:rFonts w:hint="eastAsia" w:ascii="宋体" w:hAnsi="宋体" w:cs="仿宋_GB2312"/>
                <w:color w:val="000000"/>
                <w:kern w:val="0"/>
                <w:sz w:val="24"/>
              </w:rPr>
              <w:t>17.</w:t>
            </w:r>
            <w:r>
              <w:rPr>
                <w:rFonts w:hint="eastAsia" w:ascii="宋体" w:hAnsi="宋体" w:cs="仿宋_GB2312"/>
                <w:color w:val="000000"/>
                <w:kern w:val="0"/>
                <w:sz w:val="24"/>
                <w:lang w:val="zh-CN"/>
              </w:rPr>
              <w:t>糕点类食品、自制饮品制作和当场分餐食用的经营者，分别设置相应的专用操作场所。</w:t>
            </w:r>
          </w:p>
        </w:tc>
        <w:tc>
          <w:tcPr>
            <w:tcW w:w="870" w:type="dxa"/>
            <w:tcBorders>
              <w:top w:val="single" w:color="auto" w:sz="4" w:space="0"/>
              <w:left w:val="single" w:color="auto" w:sz="4" w:space="0"/>
              <w:bottom w:val="single" w:color="auto" w:sz="4" w:space="0"/>
              <w:right w:val="single" w:color="auto" w:sz="4" w:space="0"/>
            </w:tcBorders>
          </w:tcPr>
          <w:p>
            <w:pPr>
              <w:spacing w:line="320" w:lineRule="exact"/>
              <w:ind w:right="600" w:firstLine="482"/>
              <w:jc w:val="right"/>
              <w:rPr>
                <w:rFonts w:ascii="宋体" w:hAnsi="宋体"/>
                <w:b/>
                <w:color w:val="000000"/>
                <w:sz w:val="24"/>
              </w:rPr>
            </w:pPr>
            <w:r>
              <w:rPr>
                <w:rFonts w:hint="eastAsia" w:ascii="宋体" w:hAnsi="宋体"/>
                <w:b/>
                <w:color w:val="000000"/>
                <w:sz w:val="24"/>
              </w:rPr>
              <w:t>2</w:t>
            </w:r>
          </w:p>
        </w:tc>
        <w:tc>
          <w:tcPr>
            <w:tcW w:w="1365"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384"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right w:val="single" w:color="auto" w:sz="4" w:space="0"/>
            </w:tcBorders>
            <w:vAlign w:val="center"/>
          </w:tcPr>
          <w:p>
            <w:pPr>
              <w:spacing w:line="320" w:lineRule="exact"/>
              <w:jc w:val="center"/>
              <w:rPr>
                <w:rFonts w:hint="eastAsia" w:ascii="宋体" w:hAnsi="宋体"/>
                <w:b/>
                <w:bCs/>
                <w:color w:val="000000"/>
                <w:sz w:val="24"/>
              </w:rPr>
            </w:pPr>
          </w:p>
        </w:tc>
        <w:tc>
          <w:tcPr>
            <w:tcW w:w="94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right="42" w:rightChars="20"/>
              <w:jc w:val="left"/>
              <w:rPr>
                <w:rFonts w:hint="eastAsia" w:ascii="宋体" w:hAnsi="宋体" w:cs="仿宋_GB2312"/>
                <w:color w:val="000000"/>
                <w:kern w:val="0"/>
                <w:sz w:val="24"/>
              </w:rPr>
            </w:pPr>
            <w:r>
              <w:rPr>
                <w:rFonts w:hint="eastAsia" w:ascii="宋体" w:hAnsi="宋体" w:cs="仿宋_GB2312"/>
                <w:color w:val="000000"/>
                <w:kern w:val="0"/>
                <w:sz w:val="24"/>
              </w:rPr>
              <w:t>18. 有食品加工、贮存、“三防”、排烟、照明、带盖的餐厨废弃物存放容器等设施设备并运转正常。</w:t>
            </w:r>
          </w:p>
        </w:tc>
        <w:tc>
          <w:tcPr>
            <w:tcW w:w="87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72" w:firstLineChars="196"/>
              <w:jc w:val="right"/>
              <w:rPr>
                <w:rFonts w:hint="eastAsia" w:ascii="宋体" w:hAnsi="宋体"/>
                <w:b/>
                <w:color w:val="000000"/>
                <w:sz w:val="24"/>
              </w:rPr>
            </w:pPr>
            <w:r>
              <w:rPr>
                <w:rFonts w:hint="eastAsia" w:ascii="宋体" w:hAnsi="宋体"/>
                <w:b/>
                <w:color w:val="000000"/>
                <w:sz w:val="24"/>
              </w:rPr>
              <w:t>1</w:t>
            </w:r>
          </w:p>
        </w:tc>
        <w:tc>
          <w:tcPr>
            <w:tcW w:w="1365"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38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right w:val="single" w:color="auto" w:sz="4" w:space="0"/>
            </w:tcBorders>
            <w:vAlign w:val="center"/>
          </w:tcPr>
          <w:p>
            <w:pPr>
              <w:spacing w:line="320" w:lineRule="exact"/>
              <w:jc w:val="center"/>
              <w:rPr>
                <w:rFonts w:hint="eastAsia" w:ascii="宋体" w:hAnsi="宋体"/>
                <w:b/>
                <w:bCs/>
                <w:color w:val="000000"/>
                <w:sz w:val="24"/>
              </w:rPr>
            </w:pPr>
          </w:p>
        </w:tc>
        <w:tc>
          <w:tcPr>
            <w:tcW w:w="94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right="42" w:rightChars="20"/>
              <w:jc w:val="left"/>
              <w:rPr>
                <w:rFonts w:hint="eastAsia" w:ascii="宋体" w:hAnsi="宋体" w:cs="仿宋_GB2312"/>
                <w:color w:val="000000"/>
                <w:kern w:val="0"/>
                <w:sz w:val="24"/>
              </w:rPr>
            </w:pPr>
            <w:r>
              <w:rPr>
                <w:rFonts w:hint="eastAsia" w:ascii="宋体" w:hAnsi="宋体" w:cs="仿宋_GB2312"/>
                <w:color w:val="000000"/>
                <w:kern w:val="0"/>
                <w:sz w:val="24"/>
              </w:rPr>
              <w:t>19.食品处理区设有员工能使用的洗手设施（含洗手、干手用品)</w:t>
            </w:r>
          </w:p>
        </w:tc>
        <w:tc>
          <w:tcPr>
            <w:tcW w:w="87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hint="eastAsia" w:ascii="宋体" w:hAnsi="宋体"/>
                <w:b/>
                <w:color w:val="000000"/>
                <w:sz w:val="24"/>
              </w:rPr>
            </w:pPr>
            <w:r>
              <w:rPr>
                <w:rFonts w:hint="eastAsia" w:ascii="宋体" w:hAnsi="宋体"/>
                <w:b/>
                <w:color w:val="000000"/>
                <w:sz w:val="24"/>
              </w:rPr>
              <w:t>2</w:t>
            </w:r>
          </w:p>
        </w:tc>
        <w:tc>
          <w:tcPr>
            <w:tcW w:w="1365"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384"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8" w:type="dxa"/>
            <w:tcBorders>
              <w:top w:val="single" w:color="auto" w:sz="4" w:space="0"/>
              <w:left w:val="single" w:color="auto" w:sz="4" w:space="0"/>
              <w:right w:val="single" w:color="auto" w:sz="4" w:space="0"/>
            </w:tcBorders>
            <w:vAlign w:val="center"/>
          </w:tcPr>
          <w:p>
            <w:pPr>
              <w:spacing w:line="320" w:lineRule="exact"/>
              <w:jc w:val="center"/>
              <w:rPr>
                <w:rFonts w:ascii="宋体" w:hAnsi="宋体"/>
                <w:b/>
                <w:bCs/>
                <w:color w:val="000000"/>
                <w:sz w:val="24"/>
              </w:rPr>
            </w:pPr>
            <w:r>
              <w:rPr>
                <w:rFonts w:hint="eastAsia" w:ascii="宋体" w:hAnsi="宋体"/>
                <w:b/>
                <w:bCs/>
                <w:color w:val="000000"/>
                <w:sz w:val="24"/>
              </w:rPr>
              <w:t>餐具消毒</w:t>
            </w:r>
          </w:p>
        </w:tc>
        <w:tc>
          <w:tcPr>
            <w:tcW w:w="9459" w:type="dxa"/>
            <w:tcBorders>
              <w:top w:val="single" w:color="auto" w:sz="4" w:space="0"/>
              <w:left w:val="single" w:color="auto" w:sz="4" w:space="0"/>
              <w:bottom w:val="single" w:color="auto" w:sz="4" w:space="0"/>
              <w:right w:val="single" w:color="auto" w:sz="4" w:space="0"/>
            </w:tcBorders>
          </w:tcPr>
          <w:p>
            <w:pPr>
              <w:autoSpaceDE w:val="0"/>
              <w:autoSpaceDN w:val="0"/>
              <w:spacing w:line="320" w:lineRule="exact"/>
              <w:ind w:right="42" w:rightChars="20"/>
              <w:jc w:val="left"/>
              <w:rPr>
                <w:rFonts w:hint="eastAsia" w:ascii="宋体" w:hAnsi="宋体" w:cs="仿宋_GB2312"/>
                <w:color w:val="000000"/>
                <w:kern w:val="0"/>
                <w:sz w:val="24"/>
              </w:rPr>
            </w:pPr>
            <w:r>
              <w:rPr>
                <w:rFonts w:hint="eastAsia" w:ascii="宋体" w:hAnsi="宋体" w:cs="仿宋_GB2312"/>
                <w:color w:val="000000"/>
                <w:kern w:val="0"/>
                <w:sz w:val="24"/>
              </w:rPr>
              <w:t>20.餐具、食品用工具及盛放直接入口食品的容器均经有效的清洗（水池或水盆或桶）、消毒、保洁，设施运转正常。</w:t>
            </w:r>
          </w:p>
        </w:tc>
        <w:tc>
          <w:tcPr>
            <w:tcW w:w="870" w:type="dxa"/>
            <w:tcBorders>
              <w:top w:val="single" w:color="auto" w:sz="4" w:space="0"/>
              <w:left w:val="single" w:color="auto" w:sz="4" w:space="0"/>
              <w:bottom w:val="single" w:color="auto" w:sz="4" w:space="0"/>
              <w:right w:val="single" w:color="auto" w:sz="4" w:space="0"/>
            </w:tcBorders>
          </w:tcPr>
          <w:p>
            <w:pPr>
              <w:spacing w:line="320" w:lineRule="exact"/>
              <w:ind w:firstLine="482"/>
              <w:jc w:val="right"/>
              <w:rPr>
                <w:rFonts w:ascii="宋体" w:hAnsi="宋体"/>
                <w:b/>
                <w:color w:val="000000"/>
                <w:sz w:val="24"/>
              </w:rPr>
            </w:pPr>
            <w:r>
              <w:rPr>
                <w:rFonts w:hint="eastAsia" w:ascii="宋体" w:hAnsi="宋体"/>
                <w:b/>
                <w:color w:val="000000"/>
                <w:sz w:val="24"/>
              </w:rPr>
              <w:t>2</w:t>
            </w:r>
          </w:p>
        </w:tc>
        <w:tc>
          <w:tcPr>
            <w:tcW w:w="1365"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384"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tcBorders>
              <w:left w:val="single" w:color="auto" w:sz="4" w:space="0"/>
              <w:bottom w:val="single" w:color="auto" w:sz="4" w:space="0"/>
              <w:right w:val="single" w:color="auto" w:sz="4" w:space="0"/>
            </w:tcBorders>
            <w:vAlign w:val="center"/>
          </w:tcPr>
          <w:p>
            <w:pPr>
              <w:autoSpaceDE w:val="0"/>
              <w:autoSpaceDN w:val="0"/>
              <w:spacing w:line="320" w:lineRule="exact"/>
              <w:ind w:right="42" w:rightChars="20"/>
              <w:jc w:val="left"/>
              <w:rPr>
                <w:rFonts w:hint="eastAsia" w:ascii="宋体" w:hAnsi="宋体" w:cs="仿宋_GB2312"/>
                <w:b/>
                <w:bCs/>
                <w:color w:val="000000"/>
                <w:kern w:val="0"/>
                <w:sz w:val="24"/>
              </w:rPr>
            </w:pPr>
            <w:r>
              <w:rPr>
                <w:rFonts w:hint="eastAsia" w:ascii="宋体" w:hAnsi="宋体" w:cs="仿宋_GB2312"/>
                <w:b/>
                <w:bCs/>
                <w:color w:val="000000"/>
                <w:kern w:val="0"/>
                <w:sz w:val="24"/>
              </w:rPr>
              <w:t>网络</w:t>
            </w:r>
          </w:p>
          <w:p>
            <w:pPr>
              <w:autoSpaceDE w:val="0"/>
              <w:autoSpaceDN w:val="0"/>
              <w:spacing w:line="320" w:lineRule="exact"/>
              <w:ind w:right="42" w:rightChars="20"/>
              <w:jc w:val="left"/>
              <w:rPr>
                <w:rFonts w:hint="eastAsia" w:ascii="宋体" w:hAnsi="宋体" w:cs="仿宋_GB2312"/>
                <w:b/>
                <w:bCs/>
                <w:color w:val="000000"/>
                <w:kern w:val="0"/>
                <w:sz w:val="24"/>
              </w:rPr>
            </w:pPr>
            <w:r>
              <w:rPr>
                <w:rFonts w:hint="eastAsia" w:ascii="宋体" w:hAnsi="宋体" w:cs="仿宋_GB2312"/>
                <w:b/>
                <w:bCs/>
                <w:color w:val="000000"/>
                <w:kern w:val="0"/>
                <w:sz w:val="24"/>
              </w:rPr>
              <w:t>经营</w:t>
            </w:r>
          </w:p>
        </w:tc>
        <w:tc>
          <w:tcPr>
            <w:tcW w:w="94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right="42" w:rightChars="20"/>
              <w:jc w:val="left"/>
              <w:rPr>
                <w:rFonts w:hint="eastAsia" w:ascii="宋体" w:hAnsi="宋体" w:cs="仿宋_GB2312"/>
                <w:color w:val="000000"/>
                <w:kern w:val="0"/>
                <w:sz w:val="24"/>
              </w:rPr>
            </w:pPr>
            <w:r>
              <w:rPr>
                <w:rFonts w:hint="eastAsia" w:ascii="宋体" w:hAnsi="宋体" w:cs="仿宋_GB2312"/>
                <w:color w:val="000000"/>
                <w:kern w:val="0"/>
                <w:sz w:val="24"/>
              </w:rPr>
              <w:t>21</w:t>
            </w:r>
            <w:r>
              <w:rPr>
                <w:rFonts w:hint="eastAsia" w:ascii="ˎ̥" w:hAnsi="ˎ̥" w:cs="Arial"/>
                <w:b/>
                <w:bCs/>
                <w:color w:val="000000"/>
                <w:kern w:val="0"/>
                <w:sz w:val="23"/>
                <w:szCs w:val="23"/>
              </w:rPr>
              <w:t>◎</w:t>
            </w:r>
            <w:r>
              <w:rPr>
                <w:rFonts w:hint="eastAsia" w:ascii="宋体" w:hAnsi="宋体" w:cs="仿宋_GB2312"/>
                <w:color w:val="000000"/>
                <w:kern w:val="0"/>
                <w:sz w:val="24"/>
              </w:rPr>
              <w:t>取得网络经营的许可；在经营活动主页面公示其食品经营许可证、食品安全量化等级等信息，有保证食品安全的送餐措施或者委托具备相应运输能力的企业送餐。</w:t>
            </w:r>
          </w:p>
        </w:tc>
        <w:tc>
          <w:tcPr>
            <w:tcW w:w="870" w:type="dxa"/>
            <w:tcBorders>
              <w:top w:val="single" w:color="auto" w:sz="4" w:space="0"/>
              <w:left w:val="single" w:color="auto" w:sz="4" w:space="0"/>
              <w:bottom w:val="single" w:color="auto" w:sz="4" w:space="0"/>
              <w:right w:val="single" w:color="auto" w:sz="4" w:space="0"/>
            </w:tcBorders>
          </w:tcPr>
          <w:p>
            <w:pPr>
              <w:spacing w:line="320" w:lineRule="exact"/>
              <w:ind w:firstLine="482"/>
              <w:jc w:val="right"/>
              <w:rPr>
                <w:rFonts w:ascii="宋体" w:hAnsi="宋体"/>
                <w:b/>
                <w:color w:val="000000"/>
                <w:sz w:val="24"/>
              </w:rPr>
            </w:pPr>
            <w:r>
              <w:rPr>
                <w:rFonts w:hint="eastAsia" w:ascii="宋体" w:hAnsi="宋体"/>
                <w:b/>
                <w:color w:val="000000"/>
                <w:sz w:val="24"/>
              </w:rPr>
              <w:t>2</w:t>
            </w:r>
          </w:p>
        </w:tc>
        <w:tc>
          <w:tcPr>
            <w:tcW w:w="1365"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384"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restart"/>
            <w:tcBorders>
              <w:top w:val="single" w:color="auto" w:sz="4" w:space="0"/>
              <w:left w:val="single" w:color="auto" w:sz="4" w:space="0"/>
              <w:right w:val="single" w:color="auto" w:sz="4" w:space="0"/>
            </w:tcBorders>
            <w:vAlign w:val="center"/>
          </w:tcPr>
          <w:p>
            <w:pPr>
              <w:spacing w:line="320" w:lineRule="exact"/>
              <w:ind w:right="-86" w:rightChars="-41"/>
              <w:rPr>
                <w:rFonts w:ascii="宋体" w:hAnsi="宋体"/>
                <w:b/>
                <w:bCs/>
                <w:color w:val="000000"/>
                <w:sz w:val="24"/>
              </w:rPr>
            </w:pPr>
            <w:r>
              <w:rPr>
                <w:rFonts w:hint="eastAsia" w:ascii="宋体" w:hAnsi="宋体"/>
                <w:b/>
                <w:bCs/>
                <w:color w:val="000000"/>
                <w:sz w:val="24"/>
              </w:rPr>
              <w:t>其它</w:t>
            </w:r>
          </w:p>
        </w:tc>
        <w:tc>
          <w:tcPr>
            <w:tcW w:w="94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right="42" w:rightChars="20"/>
              <w:jc w:val="left"/>
              <w:rPr>
                <w:rFonts w:hint="eastAsia" w:ascii="宋体" w:hAnsi="宋体" w:cs="仿宋_GB2312"/>
                <w:color w:val="000000"/>
                <w:kern w:val="0"/>
                <w:sz w:val="24"/>
              </w:rPr>
            </w:pPr>
            <w:r>
              <w:rPr>
                <w:rFonts w:hint="eastAsia" w:ascii="宋体" w:hAnsi="宋体"/>
                <w:color w:val="000000"/>
                <w:sz w:val="24"/>
              </w:rPr>
              <w:t>22.</w:t>
            </w:r>
            <w:r>
              <w:rPr>
                <w:rFonts w:hint="eastAsia" w:ascii="宋体" w:hAnsi="宋体" w:cs="仿宋_GB2312"/>
                <w:color w:val="000000"/>
                <w:kern w:val="0"/>
                <w:sz w:val="24"/>
              </w:rPr>
              <w:t>★</w:t>
            </w:r>
            <w:r>
              <w:rPr>
                <w:rFonts w:hint="eastAsia" w:ascii="宋体" w:hAnsi="宋体" w:cs="仿宋_GB2312"/>
                <w:color w:val="000000"/>
                <w:kern w:val="0"/>
                <w:szCs w:val="21"/>
              </w:rPr>
              <w:t>造成重大食品安全事故和影响较大的食品安全不良社会影响</w:t>
            </w:r>
          </w:p>
        </w:tc>
        <w:tc>
          <w:tcPr>
            <w:tcW w:w="870" w:type="dxa"/>
            <w:tcBorders>
              <w:top w:val="single" w:color="auto" w:sz="4" w:space="0"/>
              <w:left w:val="single" w:color="auto" w:sz="4" w:space="0"/>
              <w:bottom w:val="single" w:color="auto" w:sz="4" w:space="0"/>
              <w:right w:val="single" w:color="auto" w:sz="4" w:space="0"/>
            </w:tcBorders>
          </w:tcPr>
          <w:p>
            <w:pPr>
              <w:spacing w:line="320" w:lineRule="exact"/>
              <w:ind w:firstLine="183"/>
              <w:jc w:val="right"/>
              <w:rPr>
                <w:rFonts w:hint="eastAsia" w:ascii="宋体" w:hAnsi="宋体"/>
                <w:b/>
                <w:color w:val="000000"/>
                <w:sz w:val="24"/>
              </w:rPr>
            </w:pPr>
            <w:r>
              <w:rPr>
                <w:rFonts w:hint="eastAsia" w:ascii="宋体" w:hAnsi="宋体"/>
                <w:b/>
                <w:color w:val="000000"/>
                <w:sz w:val="24"/>
              </w:rPr>
              <w:t>20</w:t>
            </w:r>
          </w:p>
        </w:tc>
        <w:tc>
          <w:tcPr>
            <w:tcW w:w="1365"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384"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right w:val="single" w:color="auto" w:sz="4" w:space="0"/>
            </w:tcBorders>
            <w:vAlign w:val="center"/>
          </w:tcPr>
          <w:p>
            <w:pPr>
              <w:spacing w:line="320" w:lineRule="exact"/>
              <w:ind w:right="-86" w:rightChars="-41"/>
              <w:rPr>
                <w:rFonts w:ascii="宋体" w:hAnsi="宋体"/>
                <w:b/>
                <w:bCs/>
                <w:color w:val="000000"/>
                <w:sz w:val="24"/>
              </w:rPr>
            </w:pPr>
          </w:p>
        </w:tc>
        <w:tc>
          <w:tcPr>
            <w:tcW w:w="94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right="42" w:rightChars="20"/>
              <w:jc w:val="left"/>
              <w:rPr>
                <w:rFonts w:hint="eastAsia" w:ascii="宋体" w:hAnsi="宋体" w:cs="仿宋_GB2312"/>
                <w:color w:val="000000"/>
                <w:kern w:val="0"/>
                <w:sz w:val="24"/>
              </w:rPr>
            </w:pPr>
            <w:r>
              <w:rPr>
                <w:rFonts w:hint="eastAsia" w:ascii="宋体" w:hAnsi="宋体" w:cs="仿宋_GB2312"/>
                <w:color w:val="000000"/>
                <w:kern w:val="0"/>
                <w:sz w:val="24"/>
              </w:rPr>
              <w:t>23.按要求处理废弃油脂和餐厨垃圾。</w:t>
            </w:r>
          </w:p>
        </w:tc>
        <w:tc>
          <w:tcPr>
            <w:tcW w:w="870" w:type="dxa"/>
            <w:tcBorders>
              <w:top w:val="single" w:color="auto" w:sz="4" w:space="0"/>
              <w:left w:val="single" w:color="auto" w:sz="4" w:space="0"/>
              <w:bottom w:val="single" w:color="auto" w:sz="4" w:space="0"/>
              <w:right w:val="single" w:color="auto" w:sz="4" w:space="0"/>
            </w:tcBorders>
          </w:tcPr>
          <w:p>
            <w:pPr>
              <w:spacing w:line="320" w:lineRule="exact"/>
              <w:ind w:firstLine="482"/>
              <w:jc w:val="right"/>
              <w:rPr>
                <w:rFonts w:hint="eastAsia" w:ascii="宋体" w:hAnsi="宋体"/>
                <w:b/>
                <w:color w:val="000000"/>
                <w:sz w:val="24"/>
              </w:rPr>
            </w:pPr>
            <w:r>
              <w:rPr>
                <w:rFonts w:hint="eastAsia" w:ascii="宋体" w:hAnsi="宋体"/>
                <w:b/>
                <w:color w:val="000000"/>
                <w:sz w:val="24"/>
              </w:rPr>
              <w:t>1</w:t>
            </w:r>
          </w:p>
        </w:tc>
        <w:tc>
          <w:tcPr>
            <w:tcW w:w="1365"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384"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right w:val="single" w:color="auto" w:sz="4" w:space="0"/>
            </w:tcBorders>
            <w:vAlign w:val="center"/>
          </w:tcPr>
          <w:p>
            <w:pPr>
              <w:spacing w:line="320" w:lineRule="exact"/>
              <w:ind w:left="-199" w:leftChars="-95" w:right="-86" w:rightChars="-41" w:firstLine="357" w:firstLineChars="149"/>
              <w:rPr>
                <w:rFonts w:ascii="宋体" w:hAnsi="宋体"/>
                <w:color w:val="000000"/>
                <w:sz w:val="24"/>
              </w:rPr>
            </w:pPr>
          </w:p>
        </w:tc>
        <w:tc>
          <w:tcPr>
            <w:tcW w:w="94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right="42" w:rightChars="20"/>
              <w:jc w:val="left"/>
              <w:rPr>
                <w:rFonts w:hint="eastAsia" w:ascii="宋体" w:hAnsi="宋体" w:cs="仿宋_GB2312"/>
                <w:color w:val="000000"/>
                <w:kern w:val="0"/>
                <w:sz w:val="24"/>
              </w:rPr>
            </w:pPr>
            <w:r>
              <w:rPr>
                <w:rFonts w:hint="eastAsia" w:ascii="宋体" w:hAnsi="宋体" w:cs="仿宋_GB2312"/>
                <w:color w:val="000000"/>
                <w:kern w:val="0"/>
                <w:sz w:val="24"/>
              </w:rPr>
              <w:t>24.遵守控烟要求。</w:t>
            </w:r>
          </w:p>
        </w:tc>
        <w:tc>
          <w:tcPr>
            <w:tcW w:w="870" w:type="dxa"/>
            <w:tcBorders>
              <w:top w:val="single" w:color="auto" w:sz="4" w:space="0"/>
              <w:left w:val="single" w:color="auto" w:sz="4" w:space="0"/>
              <w:bottom w:val="single" w:color="auto" w:sz="4" w:space="0"/>
              <w:right w:val="single" w:color="auto" w:sz="4" w:space="0"/>
            </w:tcBorders>
          </w:tcPr>
          <w:p>
            <w:pPr>
              <w:spacing w:line="320" w:lineRule="exact"/>
              <w:ind w:firstLine="482"/>
              <w:jc w:val="right"/>
              <w:rPr>
                <w:rFonts w:hint="eastAsia" w:ascii="宋体" w:hAnsi="宋体"/>
                <w:b/>
                <w:color w:val="000000"/>
                <w:sz w:val="24"/>
              </w:rPr>
            </w:pPr>
            <w:r>
              <w:rPr>
                <w:rFonts w:hint="eastAsia" w:ascii="宋体" w:hAnsi="宋体"/>
                <w:b/>
                <w:color w:val="000000"/>
                <w:sz w:val="24"/>
              </w:rPr>
              <w:t>1</w:t>
            </w:r>
          </w:p>
        </w:tc>
        <w:tc>
          <w:tcPr>
            <w:tcW w:w="1365"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38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right w:val="single" w:color="auto" w:sz="4" w:space="0"/>
            </w:tcBorders>
            <w:vAlign w:val="center"/>
          </w:tcPr>
          <w:p>
            <w:pPr>
              <w:spacing w:line="320" w:lineRule="exact"/>
              <w:ind w:left="-199" w:leftChars="-95" w:right="-86" w:rightChars="-41" w:firstLine="357" w:firstLineChars="149"/>
              <w:rPr>
                <w:rFonts w:ascii="宋体" w:hAnsi="宋体"/>
                <w:color w:val="000000"/>
                <w:sz w:val="24"/>
              </w:rPr>
            </w:pPr>
          </w:p>
        </w:tc>
        <w:tc>
          <w:tcPr>
            <w:tcW w:w="94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right="42" w:rightChars="20"/>
              <w:jc w:val="left"/>
              <w:rPr>
                <w:rFonts w:hint="eastAsia" w:ascii="宋体" w:hAnsi="宋体" w:cs="仿宋_GB2312"/>
                <w:color w:val="000000"/>
                <w:kern w:val="0"/>
                <w:sz w:val="24"/>
              </w:rPr>
            </w:pPr>
            <w:r>
              <w:rPr>
                <w:rFonts w:hint="eastAsia" w:ascii="宋体" w:hAnsi="宋体" w:cs="仿宋_GB2312"/>
                <w:color w:val="000000"/>
                <w:kern w:val="0"/>
                <w:sz w:val="24"/>
              </w:rPr>
              <w:t>25.安全生产告告知书已张贴。</w:t>
            </w:r>
          </w:p>
        </w:tc>
        <w:tc>
          <w:tcPr>
            <w:tcW w:w="870" w:type="dxa"/>
            <w:tcBorders>
              <w:top w:val="single" w:color="auto" w:sz="4" w:space="0"/>
              <w:left w:val="single" w:color="auto" w:sz="4" w:space="0"/>
              <w:bottom w:val="single" w:color="auto" w:sz="4" w:space="0"/>
              <w:right w:val="single" w:color="auto" w:sz="4" w:space="0"/>
            </w:tcBorders>
          </w:tcPr>
          <w:p>
            <w:pPr>
              <w:spacing w:line="320" w:lineRule="exact"/>
              <w:ind w:firstLine="482"/>
              <w:jc w:val="right"/>
              <w:rPr>
                <w:rFonts w:hint="eastAsia" w:ascii="宋体" w:hAnsi="宋体"/>
                <w:b/>
                <w:color w:val="000000"/>
                <w:sz w:val="24"/>
              </w:rPr>
            </w:pPr>
            <w:r>
              <w:rPr>
                <w:rFonts w:hint="eastAsia" w:ascii="宋体" w:hAnsi="宋体"/>
                <w:b/>
                <w:color w:val="000000"/>
                <w:sz w:val="24"/>
              </w:rPr>
              <w:t>1</w:t>
            </w:r>
          </w:p>
        </w:tc>
        <w:tc>
          <w:tcPr>
            <w:tcW w:w="1365"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38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bottom w:val="single" w:color="auto" w:sz="4" w:space="0"/>
              <w:right w:val="single" w:color="auto" w:sz="4" w:space="0"/>
            </w:tcBorders>
            <w:vAlign w:val="center"/>
          </w:tcPr>
          <w:p>
            <w:pPr>
              <w:spacing w:line="320" w:lineRule="exact"/>
              <w:ind w:left="-199" w:leftChars="-95" w:right="-86" w:rightChars="-41" w:firstLine="357" w:firstLineChars="149"/>
              <w:rPr>
                <w:rFonts w:ascii="宋体" w:hAnsi="宋体"/>
                <w:color w:val="000000"/>
                <w:sz w:val="24"/>
              </w:rPr>
            </w:pPr>
          </w:p>
        </w:tc>
        <w:tc>
          <w:tcPr>
            <w:tcW w:w="94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right="42" w:rightChars="20"/>
              <w:jc w:val="left"/>
              <w:rPr>
                <w:rFonts w:hint="eastAsia" w:ascii="宋体" w:hAnsi="宋体" w:cs="仿宋_GB2312"/>
                <w:color w:val="000000"/>
                <w:kern w:val="0"/>
                <w:sz w:val="24"/>
              </w:rPr>
            </w:pPr>
          </w:p>
        </w:tc>
        <w:tc>
          <w:tcPr>
            <w:tcW w:w="870" w:type="dxa"/>
            <w:tcBorders>
              <w:top w:val="single" w:color="auto" w:sz="4" w:space="0"/>
              <w:left w:val="single" w:color="auto" w:sz="4" w:space="0"/>
              <w:bottom w:val="single" w:color="auto" w:sz="4" w:space="0"/>
              <w:right w:val="single" w:color="auto" w:sz="4" w:space="0"/>
            </w:tcBorders>
          </w:tcPr>
          <w:p>
            <w:pPr>
              <w:spacing w:line="320" w:lineRule="exact"/>
              <w:ind w:firstLine="482"/>
              <w:jc w:val="right"/>
              <w:rPr>
                <w:rFonts w:ascii="宋体" w:hAnsi="宋体"/>
                <w:b/>
                <w:color w:val="000000"/>
                <w:sz w:val="24"/>
              </w:rPr>
            </w:pPr>
          </w:p>
        </w:tc>
        <w:tc>
          <w:tcPr>
            <w:tcW w:w="1365"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384"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b/>
                <w:color w:val="000000"/>
                <w:sz w:val="24"/>
              </w:rPr>
            </w:pPr>
          </w:p>
        </w:tc>
      </w:tr>
    </w:tbl>
    <w:p>
      <w:pPr>
        <w:spacing w:line="320" w:lineRule="exact"/>
        <w:ind w:left="-657" w:leftChars="-313" w:right="-1079" w:rightChars="-514" w:firstLine="320" w:firstLineChars="152"/>
        <w:rPr>
          <w:rFonts w:hint="eastAsia" w:ascii="仿宋" w:hAnsi="仿宋" w:cs="宋体"/>
          <w:color w:val="000000"/>
          <w:kern w:val="0"/>
          <w:sz w:val="24"/>
        </w:rPr>
      </w:pPr>
      <w:r>
        <w:rPr>
          <w:rFonts w:hint="eastAsia" w:ascii="仿宋" w:hAnsi="仿宋"/>
          <w:b/>
          <w:bCs/>
          <w:color w:val="000000"/>
          <w:szCs w:val="32"/>
        </w:rPr>
        <w:t xml:space="preserve">注 </w:t>
      </w:r>
      <w:r>
        <w:rPr>
          <w:rFonts w:hint="eastAsia" w:ascii="仿宋" w:hAnsi="仿宋"/>
          <w:color w:val="000000"/>
          <w:szCs w:val="32"/>
        </w:rPr>
        <w:t>1.</w:t>
      </w:r>
      <w:r>
        <w:rPr>
          <w:rFonts w:hint="eastAsia" w:ascii="宋体" w:hAnsi="宋体"/>
          <w:color w:val="000000"/>
          <w:sz w:val="24"/>
        </w:rPr>
        <w:t>★为分值为20分的高风险项目，※为A级必备项，</w:t>
      </w:r>
      <w:r>
        <w:rPr>
          <w:rFonts w:hint="eastAsia" w:ascii="ˎ̥" w:hAnsi="ˎ̥" w:cs="Arial"/>
          <w:b/>
          <w:bCs/>
          <w:color w:val="000000"/>
          <w:kern w:val="0"/>
          <w:sz w:val="23"/>
          <w:szCs w:val="23"/>
        </w:rPr>
        <w:t>◎</w:t>
      </w:r>
      <w:r>
        <w:rPr>
          <w:rFonts w:hint="eastAsia" w:ascii="ˎ̥" w:hAnsi="ˎ̥" w:cs="Arial"/>
          <w:color w:val="000000"/>
          <w:kern w:val="0"/>
          <w:sz w:val="23"/>
          <w:szCs w:val="23"/>
        </w:rPr>
        <w:t>为依据不同类型或不同品种的餐饮单位可以</w:t>
      </w:r>
      <w:r>
        <w:rPr>
          <w:rFonts w:hint="eastAsia" w:ascii="仿宋" w:hAnsi="仿宋" w:cs="宋体"/>
          <w:color w:val="000000"/>
          <w:kern w:val="0"/>
          <w:sz w:val="24"/>
        </w:rPr>
        <w:t>存在合理缺项，但有相应经营</w:t>
      </w:r>
    </w:p>
    <w:p>
      <w:pPr>
        <w:spacing w:line="320" w:lineRule="exact"/>
        <w:ind w:left="-657" w:leftChars="-313" w:right="-1079" w:rightChars="-514" w:firstLine="127" w:firstLineChars="53"/>
        <w:rPr>
          <w:rFonts w:ascii="宋体" w:hAnsi="宋体"/>
          <w:color w:val="000000"/>
          <w:sz w:val="24"/>
        </w:rPr>
      </w:pPr>
      <w:r>
        <w:rPr>
          <w:rFonts w:hint="eastAsia" w:ascii="仿宋" w:hAnsi="仿宋" w:cs="宋体"/>
          <w:color w:val="000000"/>
          <w:kern w:val="0"/>
          <w:sz w:val="24"/>
        </w:rPr>
        <w:t>范围的必须检查记录</w:t>
      </w:r>
      <w:r>
        <w:rPr>
          <w:rFonts w:hint="eastAsia" w:ascii="宋体" w:hAnsi="宋体"/>
          <w:color w:val="000000"/>
          <w:sz w:val="24"/>
        </w:rPr>
        <w:t>；2.</w:t>
      </w:r>
      <w:r>
        <w:rPr>
          <w:rFonts w:ascii="宋体" w:hAnsi="宋体"/>
          <w:color w:val="000000"/>
          <w:sz w:val="24"/>
        </w:rPr>
        <w:t>评价结果为“否”的，需要在“备注”栏注明原因；发现存在其他问题的，可以在“其他”一栏进行记录。</w:t>
      </w:r>
    </w:p>
    <w:p>
      <w:pPr>
        <w:spacing w:line="320" w:lineRule="exact"/>
        <w:ind w:left="-638" w:leftChars="-304" w:right="218" w:rightChars="104" w:firstLine="516" w:firstLineChars="246"/>
        <w:rPr>
          <w:rFonts w:hint="eastAsia" w:ascii="仿宋" w:hAnsi="仿宋"/>
          <w:color w:val="000000"/>
          <w:szCs w:val="32"/>
        </w:rPr>
      </w:pPr>
    </w:p>
    <w:p>
      <w:pPr>
        <w:spacing w:line="320" w:lineRule="exact"/>
        <w:ind w:left="-1079" w:leftChars="-514" w:right="-1079" w:rightChars="-514" w:firstLine="537" w:firstLineChars="255"/>
        <w:rPr>
          <w:b/>
          <w:color w:val="000000"/>
          <w:szCs w:val="21"/>
        </w:rPr>
      </w:pPr>
    </w:p>
    <w:tbl>
      <w:tblPr>
        <w:tblStyle w:val="7"/>
        <w:tblpPr w:leftFromText="181" w:rightFromText="181" w:vertAnchor="page" w:horzAnchor="margin" w:tblpXSpec="center" w:tblpY="649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46"/>
        <w:gridCol w:w="2424"/>
        <w:gridCol w:w="5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Merge w:val="restart"/>
            <w:tcBorders>
              <w:top w:val="single" w:color="auto" w:sz="4" w:space="0"/>
              <w:left w:val="single" w:color="auto" w:sz="4" w:space="0"/>
              <w:right w:val="single" w:color="auto" w:sz="4" w:space="0"/>
            </w:tcBorders>
            <w:vAlign w:val="center"/>
          </w:tcPr>
          <w:p>
            <w:pPr>
              <w:spacing w:line="100" w:lineRule="atLeast"/>
              <w:jc w:val="center"/>
              <w:rPr>
                <w:rFonts w:ascii="宋体" w:hAnsi="宋体"/>
                <w:b/>
                <w:bCs/>
                <w:color w:val="000000"/>
                <w:sz w:val="24"/>
              </w:rPr>
            </w:pPr>
            <w:r>
              <w:rPr>
                <w:rFonts w:hint="eastAsia" w:ascii="宋体" w:hAnsi="宋体"/>
                <w:b/>
                <w:bCs/>
                <w:color w:val="000000"/>
                <w:sz w:val="24"/>
              </w:rPr>
              <w:t>评价</w:t>
            </w:r>
          </w:p>
          <w:p>
            <w:pPr>
              <w:spacing w:line="100" w:lineRule="atLeast"/>
              <w:jc w:val="center"/>
              <w:rPr>
                <w:rFonts w:ascii="宋体" w:hAnsi="宋体"/>
                <w:color w:val="000000"/>
                <w:sz w:val="24"/>
              </w:rPr>
            </w:pPr>
            <w:r>
              <w:rPr>
                <w:rFonts w:hint="eastAsia" w:ascii="宋体" w:hAnsi="宋体"/>
                <w:b/>
                <w:bCs/>
                <w:color w:val="000000"/>
                <w:sz w:val="24"/>
              </w:rPr>
              <w:t>标准</w:t>
            </w:r>
          </w:p>
        </w:tc>
        <w:tc>
          <w:tcPr>
            <w:tcW w:w="23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bCs/>
                <w:color w:val="000000"/>
                <w:sz w:val="24"/>
              </w:rPr>
            </w:pPr>
            <w:r>
              <w:rPr>
                <w:rFonts w:hint="eastAsia" w:ascii="宋体" w:hAnsi="宋体"/>
                <w:b/>
                <w:bCs/>
                <w:color w:val="000000"/>
                <w:sz w:val="24"/>
              </w:rPr>
              <w:t>评价结论</w:t>
            </w:r>
          </w:p>
        </w:tc>
        <w:tc>
          <w:tcPr>
            <w:tcW w:w="24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bCs/>
                <w:color w:val="000000"/>
                <w:sz w:val="24"/>
              </w:rPr>
            </w:pPr>
            <w:r>
              <w:rPr>
                <w:rFonts w:hint="eastAsia" w:ascii="宋体" w:hAnsi="宋体"/>
                <w:b/>
                <w:bCs/>
                <w:color w:val="000000"/>
                <w:sz w:val="24"/>
              </w:rPr>
              <w:t>违法记分</w:t>
            </w:r>
          </w:p>
        </w:tc>
        <w:tc>
          <w:tcPr>
            <w:tcW w:w="59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24"/>
              </w:rPr>
            </w:pPr>
            <w:r>
              <w:rPr>
                <w:rFonts w:hint="eastAsia" w:ascii="宋体" w:hAnsi="宋体"/>
                <w:b/>
                <w:bCs/>
                <w:color w:val="000000"/>
                <w:sz w:val="24"/>
              </w:rPr>
              <w:t>检查记分结果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Merge w:val="continue"/>
            <w:tcBorders>
              <w:left w:val="single" w:color="auto" w:sz="4" w:space="0"/>
              <w:right w:val="single" w:color="auto" w:sz="4" w:space="0"/>
            </w:tcBorders>
            <w:vAlign w:val="center"/>
          </w:tcPr>
          <w:p>
            <w:pPr>
              <w:widowControl/>
              <w:jc w:val="center"/>
              <w:rPr>
                <w:rFonts w:ascii="宋体" w:hAnsi="宋体"/>
                <w:color w:val="000000"/>
                <w:sz w:val="24"/>
              </w:rPr>
            </w:pPr>
          </w:p>
        </w:tc>
        <w:tc>
          <w:tcPr>
            <w:tcW w:w="23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24"/>
              </w:rPr>
            </w:pPr>
            <w:r>
              <w:rPr>
                <w:rFonts w:hint="eastAsia" w:ascii="宋体" w:hAnsi="宋体"/>
                <w:color w:val="000000"/>
                <w:sz w:val="24"/>
              </w:rPr>
              <w:t>量化A级（优秀）</w:t>
            </w:r>
          </w:p>
        </w:tc>
        <w:tc>
          <w:tcPr>
            <w:tcW w:w="24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24"/>
              </w:rPr>
            </w:pPr>
            <w:r>
              <w:rPr>
                <w:rFonts w:hint="eastAsia" w:ascii="宋体" w:hAnsi="宋体" w:cs="宋体"/>
                <w:color w:val="000000"/>
                <w:sz w:val="24"/>
              </w:rPr>
              <w:t>&lt;10</w:t>
            </w:r>
            <w:r>
              <w:rPr>
                <w:rFonts w:hint="eastAsia" w:ascii="宋体" w:hAnsi="宋体"/>
                <w:color w:val="000000"/>
                <w:sz w:val="24"/>
              </w:rPr>
              <w:t>分</w:t>
            </w:r>
          </w:p>
        </w:tc>
        <w:tc>
          <w:tcPr>
            <w:tcW w:w="596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left="1560" w:hanging="1560" w:hangingChars="650"/>
              <w:jc w:val="center"/>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59" w:type="dxa"/>
            <w:vMerge w:val="continue"/>
            <w:tcBorders>
              <w:left w:val="single" w:color="auto" w:sz="4" w:space="0"/>
              <w:right w:val="single" w:color="auto" w:sz="4" w:space="0"/>
            </w:tcBorders>
            <w:vAlign w:val="center"/>
          </w:tcPr>
          <w:p>
            <w:pPr>
              <w:widowControl/>
              <w:jc w:val="center"/>
              <w:rPr>
                <w:rFonts w:ascii="宋体" w:hAnsi="宋体"/>
                <w:color w:val="000000"/>
                <w:sz w:val="24"/>
              </w:rPr>
            </w:pPr>
          </w:p>
        </w:tc>
        <w:tc>
          <w:tcPr>
            <w:tcW w:w="23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24"/>
              </w:rPr>
            </w:pPr>
            <w:r>
              <w:rPr>
                <w:rFonts w:hint="eastAsia" w:ascii="宋体" w:hAnsi="宋体"/>
                <w:color w:val="000000"/>
                <w:sz w:val="24"/>
              </w:rPr>
              <w:t>量化B级（良好）</w:t>
            </w:r>
          </w:p>
        </w:tc>
        <w:tc>
          <w:tcPr>
            <w:tcW w:w="24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24"/>
              </w:rPr>
            </w:pPr>
            <w:r>
              <w:rPr>
                <w:rFonts w:hint="eastAsia" w:ascii="宋体" w:hAnsi="宋体" w:cs="宋体"/>
                <w:color w:val="000000"/>
                <w:sz w:val="24"/>
              </w:rPr>
              <w:t>&lt;</w:t>
            </w:r>
            <w:r>
              <w:rPr>
                <w:rFonts w:hint="eastAsia" w:ascii="宋体" w:hAnsi="宋体"/>
                <w:color w:val="000000"/>
                <w:sz w:val="24"/>
              </w:rPr>
              <w:t>15分</w:t>
            </w:r>
            <w:r>
              <w:rPr>
                <w:rFonts w:hint="eastAsia" w:ascii="宋体" w:hAnsi="宋体" w:cs="宋体"/>
                <w:color w:val="000000"/>
                <w:sz w:val="24"/>
              </w:rPr>
              <w:t>≧10</w:t>
            </w:r>
            <w:r>
              <w:rPr>
                <w:rFonts w:hint="eastAsia" w:ascii="宋体" w:hAnsi="宋体"/>
                <w:color w:val="000000"/>
                <w:sz w:val="24"/>
              </w:rPr>
              <w:t>分</w:t>
            </w:r>
          </w:p>
        </w:tc>
        <w:tc>
          <w:tcPr>
            <w:tcW w:w="59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59" w:type="dxa"/>
            <w:vMerge w:val="continue"/>
            <w:tcBorders>
              <w:left w:val="single" w:color="auto" w:sz="4" w:space="0"/>
              <w:right w:val="single" w:color="auto" w:sz="4" w:space="0"/>
            </w:tcBorders>
            <w:vAlign w:val="center"/>
          </w:tcPr>
          <w:p>
            <w:pPr>
              <w:widowControl/>
              <w:jc w:val="center"/>
              <w:rPr>
                <w:rFonts w:ascii="宋体" w:hAnsi="宋体"/>
                <w:color w:val="000000"/>
                <w:sz w:val="24"/>
              </w:rPr>
            </w:pPr>
          </w:p>
        </w:tc>
        <w:tc>
          <w:tcPr>
            <w:tcW w:w="23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24"/>
              </w:rPr>
            </w:pPr>
            <w:r>
              <w:rPr>
                <w:rFonts w:hint="eastAsia" w:ascii="宋体" w:hAnsi="宋体"/>
                <w:color w:val="000000"/>
                <w:sz w:val="24"/>
              </w:rPr>
              <w:t>量化C级（一般）</w:t>
            </w:r>
          </w:p>
        </w:tc>
        <w:tc>
          <w:tcPr>
            <w:tcW w:w="24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24"/>
              </w:rPr>
            </w:pPr>
            <w:r>
              <w:rPr>
                <w:rFonts w:hint="eastAsia" w:ascii="宋体" w:hAnsi="宋体" w:cs="宋体"/>
                <w:color w:val="000000"/>
                <w:sz w:val="24"/>
              </w:rPr>
              <w:t>&lt;</w:t>
            </w:r>
            <w:r>
              <w:rPr>
                <w:rFonts w:hint="eastAsia" w:ascii="宋体" w:hAnsi="宋体"/>
                <w:color w:val="000000"/>
                <w:sz w:val="24"/>
              </w:rPr>
              <w:t>20分</w:t>
            </w:r>
            <w:r>
              <w:rPr>
                <w:rFonts w:hint="eastAsia" w:ascii="宋体" w:hAnsi="宋体" w:cs="宋体"/>
                <w:color w:val="000000"/>
                <w:sz w:val="24"/>
              </w:rPr>
              <w:t>≧1</w:t>
            </w:r>
            <w:r>
              <w:rPr>
                <w:rFonts w:hint="eastAsia" w:ascii="宋体" w:hAnsi="宋体"/>
                <w:color w:val="000000"/>
                <w:sz w:val="24"/>
              </w:rPr>
              <w:t>5分</w:t>
            </w:r>
          </w:p>
        </w:tc>
        <w:tc>
          <w:tcPr>
            <w:tcW w:w="5963"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color w:val="000000"/>
                <w:sz w:val="24"/>
              </w:rPr>
            </w:pPr>
            <w:r>
              <w:rPr>
                <w:rFonts w:hint="eastAsia" w:ascii="宋体" w:hAnsi="宋体"/>
                <w:b/>
                <w:color w:val="000000"/>
                <w:sz w:val="24"/>
              </w:rPr>
              <w:t>结论：</w:t>
            </w:r>
            <w:r>
              <w:rPr>
                <w:rFonts w:hint="eastAsia" w:ascii="宋体" w:hAnsi="宋体"/>
                <w:color w:val="000000"/>
                <w:sz w:val="24"/>
              </w:rPr>
              <w:t>□</w:t>
            </w:r>
            <w:r>
              <w:rPr>
                <w:rFonts w:hint="eastAsia" w:ascii="宋体" w:hAnsi="宋体"/>
                <w:b/>
                <w:color w:val="000000"/>
                <w:sz w:val="24"/>
              </w:rPr>
              <w:t xml:space="preserve">A级  </w:t>
            </w:r>
            <w:r>
              <w:rPr>
                <w:rFonts w:hint="eastAsia" w:ascii="宋体" w:hAnsi="宋体"/>
                <w:color w:val="000000"/>
                <w:sz w:val="24"/>
              </w:rPr>
              <w:t>□</w:t>
            </w:r>
            <w:r>
              <w:rPr>
                <w:rFonts w:hint="eastAsia" w:ascii="宋体" w:hAnsi="宋体"/>
                <w:b/>
                <w:color w:val="000000"/>
                <w:sz w:val="24"/>
              </w:rPr>
              <w:t xml:space="preserve">B级  </w:t>
            </w:r>
            <w:r>
              <w:rPr>
                <w:rFonts w:hint="eastAsia" w:ascii="宋体" w:hAnsi="宋体"/>
                <w:color w:val="000000"/>
                <w:sz w:val="24"/>
              </w:rPr>
              <w:t>□</w:t>
            </w:r>
            <w:r>
              <w:rPr>
                <w:rFonts w:hint="eastAsia" w:ascii="宋体" w:hAnsi="宋体"/>
                <w:b/>
                <w:color w:val="000000"/>
                <w:sz w:val="24"/>
              </w:rPr>
              <w:t xml:space="preserve">C级 </w:t>
            </w:r>
            <w:r>
              <w:rPr>
                <w:rFonts w:hint="eastAsia" w:ascii="宋体" w:hAnsi="宋体"/>
                <w:color w:val="000000"/>
                <w:sz w:val="24"/>
              </w:rPr>
              <w:t>□</w:t>
            </w:r>
            <w:r>
              <w:rPr>
                <w:rFonts w:hint="eastAsia" w:ascii="宋体" w:hAnsi="宋体"/>
                <w:b/>
                <w:bCs/>
                <w:color w:val="000000"/>
                <w:sz w:val="24"/>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59" w:type="dxa"/>
            <w:vMerge w:val="continue"/>
            <w:tcBorders>
              <w:left w:val="single" w:color="auto" w:sz="4" w:space="0"/>
              <w:right w:val="single" w:color="auto" w:sz="4" w:space="0"/>
            </w:tcBorders>
            <w:vAlign w:val="center"/>
          </w:tcPr>
          <w:p>
            <w:pPr>
              <w:widowControl/>
              <w:jc w:val="center"/>
              <w:rPr>
                <w:rFonts w:ascii="宋体" w:hAnsi="宋体"/>
                <w:color w:val="000000"/>
                <w:sz w:val="24"/>
              </w:rPr>
            </w:pPr>
          </w:p>
        </w:tc>
        <w:tc>
          <w:tcPr>
            <w:tcW w:w="234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40" w:firstLineChars="100"/>
              <w:rPr>
                <w:rFonts w:hint="eastAsia" w:ascii="宋体" w:hAnsi="宋体"/>
                <w:color w:val="000000"/>
                <w:sz w:val="24"/>
              </w:rPr>
            </w:pPr>
            <w:r>
              <w:rPr>
                <w:rFonts w:hint="eastAsia" w:ascii="宋体" w:hAnsi="宋体"/>
                <w:color w:val="000000"/>
                <w:sz w:val="24"/>
              </w:rPr>
              <w:t>量化D级(较差)</w:t>
            </w:r>
          </w:p>
        </w:tc>
        <w:tc>
          <w:tcPr>
            <w:tcW w:w="24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000000"/>
                <w:sz w:val="24"/>
              </w:rPr>
            </w:pPr>
            <w:r>
              <w:rPr>
                <w:rFonts w:hint="eastAsia" w:ascii="宋体" w:hAnsi="宋体" w:cs="宋体"/>
                <w:color w:val="000000"/>
                <w:sz w:val="24"/>
              </w:rPr>
              <w:t>≧</w:t>
            </w:r>
            <w:r>
              <w:rPr>
                <w:rFonts w:hint="eastAsia" w:ascii="宋体" w:hAnsi="宋体"/>
                <w:color w:val="000000"/>
                <w:sz w:val="24"/>
              </w:rPr>
              <w:t>20分</w:t>
            </w:r>
          </w:p>
        </w:tc>
        <w:tc>
          <w:tcPr>
            <w:tcW w:w="5963" w:type="dxa"/>
            <w:vMerge w:val="continue"/>
            <w:tcBorders>
              <w:left w:val="single" w:color="auto" w:sz="4" w:space="0"/>
              <w:right w:val="single" w:color="auto" w:sz="4" w:space="0"/>
            </w:tcBorders>
            <w:vAlign w:val="center"/>
          </w:tcPr>
          <w:p>
            <w:pPr>
              <w:spacing w:line="240" w:lineRule="exact"/>
              <w:jc w:val="center"/>
              <w:rPr>
                <w:rFonts w:hint="eastAsia" w:ascii="宋体" w:hAnsi="宋体"/>
                <w:b/>
                <w:color w:val="000000"/>
                <w:sz w:val="24"/>
              </w:rPr>
            </w:pPr>
          </w:p>
        </w:tc>
      </w:tr>
    </w:tbl>
    <w:p>
      <w:pPr>
        <w:spacing w:line="260" w:lineRule="exact"/>
        <w:ind w:left="-1079" w:leftChars="-514" w:right="-1079" w:rightChars="-514" w:firstLine="537" w:firstLineChars="255"/>
        <w:rPr>
          <w:b/>
          <w:color w:val="000000"/>
          <w:szCs w:val="21"/>
        </w:rPr>
      </w:pPr>
    </w:p>
    <w:p>
      <w:pPr>
        <w:spacing w:line="360" w:lineRule="auto"/>
        <w:ind w:right="-540" w:rightChars="-257"/>
        <w:rPr>
          <w:rFonts w:hint="eastAsia"/>
          <w:color w:val="000000"/>
          <w:sz w:val="28"/>
          <w:szCs w:val="28"/>
        </w:rPr>
      </w:pPr>
    </w:p>
    <w:p>
      <w:pPr>
        <w:rPr>
          <w:rFonts w:ascii="仿宋" w:hAnsi="仿宋" w:eastAsia="仿宋"/>
          <w:sz w:val="32"/>
          <w:szCs w:val="32"/>
        </w:rPr>
      </w:pPr>
      <w:r>
        <w:rPr>
          <w:rFonts w:hint="eastAsia"/>
          <w:color w:val="000000"/>
          <w:sz w:val="28"/>
          <w:szCs w:val="28"/>
        </w:rPr>
        <w:t xml:space="preserve">                                          </w:t>
      </w:r>
      <w:r>
        <w:rPr>
          <w:rFonts w:hint="eastAsia" w:ascii="宋体" w:hAnsi="宋体" w:cs="宋体"/>
          <w:b/>
          <w:color w:val="000000"/>
          <w:sz w:val="32"/>
          <w:szCs w:val="32"/>
        </w:rPr>
        <w:br w:type="page"/>
      </w:r>
      <w:r>
        <w:rPr>
          <w:rFonts w:hint="eastAsia" w:ascii="仿宋" w:hAnsi="仿宋" w:eastAsia="仿宋" w:cs="宋体"/>
          <w:bCs/>
          <w:color w:val="000000"/>
          <w:sz w:val="32"/>
          <w:szCs w:val="32"/>
        </w:rPr>
        <w:t xml:space="preserve">附件1-2-3  </w:t>
      </w:r>
      <w:r>
        <w:rPr>
          <w:rFonts w:hint="eastAsia" w:ascii="仿宋" w:hAnsi="仿宋" w:eastAsia="仿宋" w:cs="宋体"/>
          <w:b/>
          <w:color w:val="000000"/>
          <w:sz w:val="32"/>
          <w:szCs w:val="32"/>
        </w:rPr>
        <w:t xml:space="preserve">         </w:t>
      </w:r>
    </w:p>
    <w:p>
      <w:pPr>
        <w:spacing w:line="360" w:lineRule="auto"/>
        <w:ind w:right="-540" w:rightChars="-257" w:firstLine="2381" w:firstLineChars="700"/>
        <w:rPr>
          <w:rFonts w:hint="eastAsia" w:ascii="华文中宋" w:hAnsi="华文中宋" w:eastAsia="华文中宋"/>
          <w:b/>
          <w:color w:val="000000"/>
          <w:spacing w:val="-10"/>
          <w:sz w:val="36"/>
          <w:szCs w:val="36"/>
        </w:rPr>
      </w:pPr>
      <w:r>
        <w:rPr>
          <w:rFonts w:hint="eastAsia" w:ascii="华文中宋" w:hAnsi="华文中宋" w:eastAsia="华文中宋"/>
          <w:b/>
          <w:color w:val="000000"/>
          <w:spacing w:val="-10"/>
          <w:sz w:val="36"/>
          <w:szCs w:val="36"/>
        </w:rPr>
        <w:t>深圳市食品安全违法记分量化检查标准（连锁餐饮总部）</w:t>
      </w:r>
    </w:p>
    <w:p>
      <w:pPr>
        <w:spacing w:line="360" w:lineRule="exact"/>
        <w:ind w:left="-569" w:leftChars="-271" w:right="-540" w:rightChars="-257" w:firstLine="33" w:firstLineChars="14"/>
        <w:rPr>
          <w:rFonts w:hint="eastAsia" w:ascii="宋体" w:hAnsi="宋体"/>
          <w:color w:val="000000"/>
          <w:sz w:val="24"/>
        </w:rPr>
      </w:pPr>
    </w:p>
    <w:tbl>
      <w:tblPr>
        <w:tblStyle w:val="7"/>
        <w:tblpPr w:leftFromText="180" w:rightFromText="180" w:vertAnchor="text" w:horzAnchor="page" w:tblpX="1276" w:tblpY="1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9594"/>
        <w:gridCol w:w="780"/>
        <w:gridCol w:w="1215"/>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blHeader/>
        </w:trPr>
        <w:tc>
          <w:tcPr>
            <w:tcW w:w="8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
                <w:color w:val="000000"/>
                <w:sz w:val="24"/>
              </w:rPr>
            </w:pPr>
            <w:r>
              <w:rPr>
                <w:rFonts w:hint="eastAsia" w:ascii="宋体" w:hAnsi="宋体" w:cs="宋体"/>
                <w:b/>
                <w:color w:val="000000"/>
                <w:sz w:val="24"/>
              </w:rPr>
              <w:t>检查项目</w:t>
            </w:r>
          </w:p>
        </w:tc>
        <w:tc>
          <w:tcPr>
            <w:tcW w:w="959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896" w:firstLineChars="1202"/>
              <w:rPr>
                <w:rFonts w:ascii="宋体" w:hAnsi="宋体" w:cs="宋体"/>
                <w:b/>
                <w:color w:val="000000"/>
                <w:sz w:val="24"/>
              </w:rPr>
            </w:pPr>
            <w:r>
              <w:rPr>
                <w:rFonts w:hint="eastAsia" w:ascii="宋体" w:hAnsi="宋体" w:cs="宋体"/>
                <w:b/>
                <w:color w:val="000000"/>
                <w:sz w:val="24"/>
              </w:rPr>
              <w:t>检 查 内 容</w:t>
            </w: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hint="eastAsia" w:ascii="宋体" w:hAnsi="宋体" w:cs="仿宋_GB2312"/>
                <w:b/>
                <w:bCs/>
                <w:color w:val="000000"/>
                <w:kern w:val="0"/>
                <w:sz w:val="24"/>
              </w:rPr>
            </w:pPr>
            <w:r>
              <w:rPr>
                <w:rFonts w:hint="eastAsia" w:ascii="宋体" w:hAnsi="宋体" w:cs="仿宋_GB2312"/>
                <w:b/>
                <w:bCs/>
                <w:color w:val="000000"/>
                <w:kern w:val="0"/>
                <w:sz w:val="24"/>
              </w:rPr>
              <w:t>记分</w:t>
            </w:r>
          </w:p>
          <w:p>
            <w:pPr>
              <w:spacing w:line="320" w:lineRule="exact"/>
              <w:jc w:val="right"/>
              <w:rPr>
                <w:rFonts w:ascii="宋体" w:hAnsi="宋体" w:cs="仿宋_GB2312"/>
                <w:b/>
                <w:bCs/>
                <w:color w:val="000000"/>
                <w:kern w:val="0"/>
                <w:sz w:val="24"/>
              </w:rPr>
            </w:pPr>
            <w:r>
              <w:rPr>
                <w:rFonts w:hint="eastAsia" w:ascii="宋体" w:hAnsi="宋体" w:cs="仿宋_GB2312"/>
                <w:b/>
                <w:bCs/>
                <w:color w:val="000000"/>
                <w:kern w:val="0"/>
                <w:sz w:val="24"/>
              </w:rPr>
              <w:t>分数</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仿宋_GB2312"/>
                <w:b/>
                <w:bCs/>
                <w:color w:val="000000"/>
                <w:kern w:val="0"/>
                <w:sz w:val="24"/>
              </w:rPr>
            </w:pPr>
            <w:r>
              <w:rPr>
                <w:rFonts w:hint="eastAsia" w:ascii="宋体" w:hAnsi="宋体" w:cs="仿宋_GB2312"/>
                <w:b/>
                <w:bCs/>
                <w:color w:val="000000"/>
                <w:kern w:val="0"/>
                <w:sz w:val="24"/>
              </w:rPr>
              <w:t>√=符合</w:t>
            </w:r>
          </w:p>
          <w:p>
            <w:pPr>
              <w:spacing w:line="320" w:lineRule="exact"/>
              <w:jc w:val="center"/>
              <w:rPr>
                <w:rFonts w:ascii="宋体" w:hAnsi="宋体" w:cs="仿宋_GB2312"/>
                <w:b/>
                <w:bCs/>
                <w:color w:val="000000"/>
                <w:kern w:val="0"/>
                <w:sz w:val="24"/>
              </w:rPr>
            </w:pPr>
            <w:r>
              <w:rPr>
                <w:rFonts w:hint="eastAsia" w:ascii="宋体" w:hAnsi="宋体" w:cs="仿宋_GB2312"/>
                <w:b/>
                <w:bCs/>
                <w:color w:val="000000"/>
                <w:kern w:val="0"/>
                <w:sz w:val="24"/>
              </w:rPr>
              <w:t>×=不符</w:t>
            </w:r>
          </w:p>
          <w:p>
            <w:pPr>
              <w:spacing w:line="320" w:lineRule="exact"/>
              <w:jc w:val="center"/>
              <w:rPr>
                <w:rFonts w:ascii="宋体" w:hAnsi="宋体" w:cs="仿宋_GB2312"/>
                <w:b/>
                <w:bCs/>
                <w:color w:val="000000"/>
                <w:kern w:val="0"/>
                <w:sz w:val="24"/>
              </w:rPr>
            </w:pPr>
            <w:r>
              <w:rPr>
                <w:rFonts w:hint="eastAsia" w:ascii="宋体" w:hAnsi="宋体" w:cs="仿宋_GB2312"/>
                <w:b/>
                <w:bCs/>
                <w:color w:val="000000"/>
                <w:kern w:val="0"/>
                <w:sz w:val="24"/>
              </w:rPr>
              <w:t>/=不适用</w:t>
            </w:r>
          </w:p>
        </w:tc>
        <w:tc>
          <w:tcPr>
            <w:tcW w:w="14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仿宋_GB2312"/>
                <w:b/>
                <w:bCs/>
                <w:color w:val="000000"/>
                <w:kern w:val="0"/>
                <w:sz w:val="24"/>
              </w:rPr>
            </w:pPr>
            <w:r>
              <w:rPr>
                <w:rFonts w:hint="eastAsia" w:ascii="宋体" w:hAnsi="宋体" w:cs="仿宋_GB2312"/>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8" w:type="dxa"/>
            <w:vMerge w:val="restart"/>
            <w:tcBorders>
              <w:top w:val="single" w:color="auto" w:sz="4" w:space="0"/>
              <w:left w:val="single" w:color="auto" w:sz="4" w:space="0"/>
              <w:right w:val="single" w:color="auto" w:sz="4" w:space="0"/>
            </w:tcBorders>
            <w:vAlign w:val="center"/>
          </w:tcPr>
          <w:p>
            <w:pPr>
              <w:spacing w:line="320" w:lineRule="exact"/>
              <w:rPr>
                <w:rFonts w:ascii="宋体" w:hAnsi="宋体"/>
                <w:b/>
                <w:bCs/>
                <w:color w:val="000000"/>
                <w:sz w:val="24"/>
              </w:rPr>
            </w:pPr>
            <w:r>
              <w:rPr>
                <w:rFonts w:hint="eastAsia" w:ascii="宋体" w:hAnsi="宋体"/>
                <w:b/>
                <w:bCs/>
                <w:color w:val="000000"/>
                <w:sz w:val="24"/>
              </w:rPr>
              <w:t>许可</w:t>
            </w:r>
          </w:p>
          <w:p>
            <w:pPr>
              <w:spacing w:line="320" w:lineRule="exact"/>
              <w:rPr>
                <w:rFonts w:ascii="宋体" w:hAnsi="宋体"/>
                <w:b/>
                <w:bCs/>
                <w:color w:val="000000"/>
                <w:sz w:val="24"/>
              </w:rPr>
            </w:pPr>
            <w:r>
              <w:rPr>
                <w:rFonts w:hint="eastAsia" w:ascii="宋体" w:hAnsi="宋体"/>
                <w:b/>
                <w:bCs/>
                <w:color w:val="000000"/>
                <w:sz w:val="24"/>
              </w:rPr>
              <w:t>管理</w:t>
            </w:r>
          </w:p>
        </w:tc>
        <w:tc>
          <w:tcPr>
            <w:tcW w:w="959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olor w:val="000000"/>
                <w:sz w:val="24"/>
              </w:rPr>
            </w:pPr>
            <w:r>
              <w:rPr>
                <w:rFonts w:hint="eastAsia" w:ascii="宋体" w:hAnsi="宋体" w:cs="仿宋_GB2312"/>
                <w:color w:val="000000"/>
                <w:kern w:val="0"/>
                <w:sz w:val="24"/>
              </w:rPr>
              <w:t>1</w:t>
            </w:r>
            <w:r>
              <w:rPr>
                <w:rFonts w:hint="eastAsia" w:ascii="宋体" w:hAnsi="宋体"/>
                <w:color w:val="000000"/>
                <w:sz w:val="24"/>
              </w:rPr>
              <w:t>★ 取得食品</w:t>
            </w:r>
            <w:r>
              <w:rPr>
                <w:rFonts w:hint="eastAsia" w:ascii="宋体" w:hAnsi="宋体" w:cs="仿宋_GB2312"/>
                <w:color w:val="000000"/>
                <w:kern w:val="0"/>
                <w:sz w:val="24"/>
              </w:rPr>
              <w:t>经营管理许可证在有效期内。</w:t>
            </w: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236" w:firstLineChars="98"/>
              <w:jc w:val="right"/>
              <w:rPr>
                <w:rFonts w:ascii="宋体" w:hAnsi="宋体"/>
                <w:b/>
                <w:bCs/>
                <w:color w:val="000000"/>
                <w:sz w:val="24"/>
              </w:rPr>
            </w:pPr>
            <w:r>
              <w:rPr>
                <w:rFonts w:hint="eastAsia" w:ascii="宋体" w:hAnsi="宋体"/>
                <w:b/>
                <w:bCs/>
                <w:color w:val="000000"/>
                <w:sz w:val="24"/>
              </w:rPr>
              <w:t>20</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center"/>
              <w:rPr>
                <w:rFonts w:ascii="宋体" w:hAnsi="宋体"/>
                <w:b/>
                <w:color w:val="000000"/>
                <w:sz w:val="24"/>
              </w:rPr>
            </w:pPr>
          </w:p>
        </w:tc>
        <w:tc>
          <w:tcPr>
            <w:tcW w:w="1489"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right w:val="single" w:color="auto" w:sz="4" w:space="0"/>
            </w:tcBorders>
            <w:vAlign w:val="center"/>
          </w:tcPr>
          <w:p>
            <w:pPr>
              <w:widowControl/>
              <w:spacing w:line="320" w:lineRule="exact"/>
              <w:ind w:left="42" w:leftChars="20" w:right="42" w:rightChars="20"/>
              <w:rPr>
                <w:rFonts w:ascii="宋体" w:hAnsi="宋体"/>
                <w:b/>
                <w:bCs/>
                <w:color w:val="000000"/>
                <w:sz w:val="24"/>
              </w:rPr>
            </w:pPr>
          </w:p>
        </w:tc>
        <w:tc>
          <w:tcPr>
            <w:tcW w:w="959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仿宋_GB2312"/>
                <w:color w:val="000000"/>
                <w:kern w:val="0"/>
                <w:sz w:val="24"/>
              </w:rPr>
            </w:pPr>
            <w:r>
              <w:rPr>
                <w:rFonts w:hint="eastAsia" w:ascii="宋体" w:hAnsi="宋体"/>
                <w:color w:val="000000"/>
                <w:sz w:val="24"/>
              </w:rPr>
              <w:t>2★实际</w:t>
            </w:r>
            <w:r>
              <w:rPr>
                <w:rFonts w:hint="eastAsia" w:ascii="宋体" w:hAnsi="宋体" w:cs="仿宋_GB2312"/>
                <w:color w:val="000000"/>
                <w:kern w:val="0"/>
                <w:sz w:val="24"/>
              </w:rPr>
              <w:t>经营地址、主体业态、经营项目等事项与食品经营许可证一致。</w:t>
            </w: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236" w:firstLineChars="98"/>
              <w:jc w:val="right"/>
              <w:rPr>
                <w:rFonts w:ascii="宋体" w:hAnsi="宋体"/>
                <w:b/>
                <w:bCs/>
                <w:color w:val="000000"/>
                <w:sz w:val="24"/>
              </w:rPr>
            </w:pPr>
            <w:r>
              <w:rPr>
                <w:rFonts w:hint="eastAsia" w:ascii="宋体" w:hAnsi="宋体"/>
                <w:b/>
                <w:bCs/>
                <w:color w:val="000000"/>
                <w:sz w:val="24"/>
              </w:rPr>
              <w:t>20</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center"/>
              <w:rPr>
                <w:rFonts w:ascii="宋体" w:hAnsi="宋体"/>
                <w:b/>
                <w:color w:val="000000"/>
                <w:sz w:val="24"/>
              </w:rPr>
            </w:pPr>
          </w:p>
        </w:tc>
        <w:tc>
          <w:tcPr>
            <w:tcW w:w="1489"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restart"/>
            <w:tcBorders>
              <w:top w:val="single" w:color="auto" w:sz="4" w:space="0"/>
              <w:left w:val="single" w:color="auto" w:sz="4" w:space="0"/>
              <w:right w:val="single" w:color="auto" w:sz="4" w:space="0"/>
            </w:tcBorders>
            <w:vAlign w:val="center"/>
          </w:tcPr>
          <w:p>
            <w:pPr>
              <w:spacing w:line="320" w:lineRule="exact"/>
              <w:rPr>
                <w:rFonts w:ascii="宋体" w:hAnsi="宋体" w:cs="宋体"/>
                <w:b/>
                <w:bCs/>
                <w:color w:val="000000"/>
                <w:kern w:val="0"/>
                <w:sz w:val="24"/>
              </w:rPr>
            </w:pPr>
            <w:r>
              <w:rPr>
                <w:rFonts w:hint="eastAsia" w:ascii="宋体" w:hAnsi="宋体" w:cs="宋体"/>
                <w:b/>
                <w:bCs/>
                <w:color w:val="000000"/>
                <w:kern w:val="0"/>
                <w:sz w:val="24"/>
              </w:rPr>
              <w:t>制度</w:t>
            </w:r>
          </w:p>
          <w:p>
            <w:pPr>
              <w:spacing w:line="320" w:lineRule="exact"/>
              <w:rPr>
                <w:rFonts w:ascii="宋体" w:hAnsi="宋体"/>
                <w:b/>
                <w:bCs/>
                <w:color w:val="000000"/>
                <w:sz w:val="24"/>
              </w:rPr>
            </w:pPr>
            <w:r>
              <w:rPr>
                <w:rFonts w:hint="eastAsia" w:ascii="宋体" w:hAnsi="宋体" w:cs="宋体"/>
                <w:b/>
                <w:bCs/>
                <w:color w:val="000000"/>
                <w:kern w:val="0"/>
                <w:sz w:val="24"/>
              </w:rPr>
              <w:t>管理</w:t>
            </w:r>
          </w:p>
        </w:tc>
        <w:tc>
          <w:tcPr>
            <w:tcW w:w="959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left="42" w:leftChars="20" w:right="42" w:rightChars="20"/>
              <w:rPr>
                <w:rFonts w:ascii="宋体" w:hAnsi="宋体"/>
                <w:color w:val="000000"/>
                <w:sz w:val="24"/>
              </w:rPr>
            </w:pPr>
            <w:r>
              <w:rPr>
                <w:rFonts w:hint="eastAsia" w:ascii="宋体" w:hAnsi="宋体" w:cs="仿宋_GB2312"/>
                <w:color w:val="000000"/>
                <w:kern w:val="0"/>
                <w:sz w:val="24"/>
              </w:rPr>
              <w:t>3.建立</w:t>
            </w:r>
            <w:r>
              <w:rPr>
                <w:rFonts w:hint="eastAsia" w:ascii="宋体" w:hAnsi="宋体"/>
                <w:sz w:val="24"/>
              </w:rPr>
              <w:t>健全</w:t>
            </w:r>
            <w:r>
              <w:rPr>
                <w:rFonts w:hint="eastAsia" w:ascii="宋体" w:hAnsi="宋体" w:cs="仿宋_GB2312"/>
                <w:color w:val="000000"/>
                <w:kern w:val="0"/>
                <w:sz w:val="24"/>
              </w:rPr>
              <w:t>有统一合法的</w:t>
            </w:r>
            <w:r>
              <w:rPr>
                <w:rFonts w:hint="eastAsia" w:ascii="宋体" w:hAnsi="宋体"/>
                <w:color w:val="000000"/>
                <w:sz w:val="24"/>
              </w:rPr>
              <w:t>从业人员健康管理制度和培训管理制度、食品安全管理员制度、食品安全自检自查与报告制度、食品经营过程与控制制度、食品添加剂使用公示制度、场所及设施设备清洗消毒和维修保养制度、进货查验和查验记录制度、食品贮存管理制度、</w:t>
            </w:r>
            <w:r>
              <w:rPr>
                <w:rFonts w:hint="eastAsia" w:ascii="宋体" w:hAnsi="宋体" w:cs="仿宋_GB2312"/>
                <w:color w:val="000000"/>
                <w:kern w:val="0"/>
                <w:sz w:val="24"/>
              </w:rPr>
              <w:t>食品召回、</w:t>
            </w:r>
            <w:r>
              <w:rPr>
                <w:rFonts w:hint="eastAsia" w:ascii="宋体" w:hAnsi="宋体"/>
                <w:color w:val="000000"/>
                <w:sz w:val="24"/>
              </w:rPr>
              <w:t>废弃油脂处理</w:t>
            </w:r>
            <w:r>
              <w:rPr>
                <w:rFonts w:ascii="宋体" w:hAnsi="宋体"/>
                <w:color w:val="000000"/>
                <w:sz w:val="24"/>
              </w:rPr>
              <w:t>等保证食品安全的规章制度</w:t>
            </w:r>
            <w:r>
              <w:rPr>
                <w:rFonts w:hint="eastAsia" w:ascii="宋体" w:hAnsi="宋体"/>
                <w:color w:val="000000"/>
                <w:sz w:val="24"/>
              </w:rPr>
              <w:t>。</w:t>
            </w: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hint="eastAsia" w:ascii="宋体" w:hAnsi="宋体"/>
                <w:b/>
                <w:bCs/>
                <w:color w:val="000000"/>
                <w:sz w:val="24"/>
              </w:rPr>
            </w:pPr>
            <w:r>
              <w:rPr>
                <w:rFonts w:hint="eastAsia" w:ascii="宋体" w:hAnsi="宋体"/>
                <w:b/>
                <w:bCs/>
                <w:color w:val="000000"/>
                <w:sz w:val="24"/>
              </w:rPr>
              <w:t>5</w:t>
            </w:r>
          </w:p>
        </w:tc>
        <w:tc>
          <w:tcPr>
            <w:tcW w:w="1215"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489"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right w:val="single" w:color="auto" w:sz="4" w:space="0"/>
            </w:tcBorders>
            <w:vAlign w:val="center"/>
          </w:tcPr>
          <w:p>
            <w:pPr>
              <w:spacing w:line="320" w:lineRule="exact"/>
              <w:rPr>
                <w:rFonts w:ascii="宋体" w:hAnsi="宋体"/>
                <w:b/>
                <w:bCs/>
                <w:color w:val="000000"/>
                <w:sz w:val="24"/>
              </w:rPr>
            </w:pPr>
          </w:p>
        </w:tc>
        <w:tc>
          <w:tcPr>
            <w:tcW w:w="959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left="42" w:leftChars="20" w:right="42" w:rightChars="20"/>
              <w:rPr>
                <w:rFonts w:ascii="宋体" w:hAnsi="宋体"/>
                <w:color w:val="000000"/>
                <w:sz w:val="24"/>
              </w:rPr>
            </w:pPr>
            <w:r>
              <w:rPr>
                <w:rFonts w:hint="eastAsia" w:ascii="宋体" w:hAnsi="宋体" w:cs="仿宋_GB2312"/>
                <w:color w:val="000000"/>
                <w:kern w:val="0"/>
                <w:sz w:val="24"/>
              </w:rPr>
              <w:t>4.制定食品安全事故处置方案。</w:t>
            </w: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hint="eastAsia" w:ascii="宋体" w:hAnsi="宋体"/>
                <w:b/>
                <w:bCs/>
                <w:color w:val="000000"/>
                <w:sz w:val="24"/>
              </w:rPr>
            </w:pPr>
            <w:r>
              <w:rPr>
                <w:rFonts w:hint="eastAsia" w:ascii="宋体" w:hAnsi="宋体"/>
                <w:b/>
                <w:bCs/>
                <w:color w:val="000000"/>
                <w:sz w:val="24"/>
              </w:rPr>
              <w:t>5</w:t>
            </w:r>
          </w:p>
        </w:tc>
        <w:tc>
          <w:tcPr>
            <w:tcW w:w="1215"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489"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bottom w:val="single" w:color="auto" w:sz="4" w:space="0"/>
              <w:right w:val="single" w:color="auto" w:sz="4" w:space="0"/>
            </w:tcBorders>
            <w:vAlign w:val="center"/>
          </w:tcPr>
          <w:p>
            <w:pPr>
              <w:spacing w:line="320" w:lineRule="exact"/>
              <w:rPr>
                <w:rFonts w:ascii="宋体" w:hAnsi="宋体"/>
                <w:b/>
                <w:bCs/>
                <w:color w:val="000000"/>
                <w:sz w:val="24"/>
              </w:rPr>
            </w:pPr>
          </w:p>
        </w:tc>
        <w:tc>
          <w:tcPr>
            <w:tcW w:w="959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left="42" w:leftChars="20" w:right="42" w:rightChars="20"/>
              <w:rPr>
                <w:rFonts w:ascii="宋体" w:hAnsi="宋体" w:cs="仿宋_GB2312"/>
                <w:color w:val="000000"/>
                <w:kern w:val="0"/>
                <w:sz w:val="24"/>
              </w:rPr>
            </w:pPr>
            <w:r>
              <w:rPr>
                <w:rFonts w:hint="eastAsia" w:ascii="宋体" w:hAnsi="宋体" w:cs="仿宋_GB2312"/>
                <w:color w:val="000000"/>
                <w:kern w:val="0"/>
                <w:sz w:val="24"/>
              </w:rPr>
              <w:t>5.建立有食品安全自查制度，对各总部及各下属餐饮店的食品安全状况依法进行加工经营过程的风险检查、评价、控制并形成书面记录，按要求定期上报监管部门。</w:t>
            </w: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hint="eastAsia" w:ascii="宋体" w:hAnsi="宋体"/>
                <w:b/>
                <w:bCs/>
                <w:color w:val="000000"/>
                <w:sz w:val="24"/>
              </w:rPr>
            </w:pPr>
          </w:p>
          <w:p>
            <w:pPr>
              <w:spacing w:line="320" w:lineRule="exact"/>
              <w:ind w:firstLine="482"/>
              <w:jc w:val="right"/>
              <w:rPr>
                <w:rFonts w:hint="eastAsia" w:ascii="宋体" w:hAnsi="宋体"/>
                <w:b/>
                <w:bCs/>
                <w:color w:val="000000"/>
                <w:sz w:val="24"/>
              </w:rPr>
            </w:pPr>
            <w:r>
              <w:rPr>
                <w:rFonts w:hint="eastAsia" w:ascii="宋体" w:hAnsi="宋体"/>
                <w:b/>
                <w:bCs/>
                <w:color w:val="000000"/>
                <w:sz w:val="24"/>
              </w:rPr>
              <w:t>5</w:t>
            </w:r>
          </w:p>
        </w:tc>
        <w:tc>
          <w:tcPr>
            <w:tcW w:w="1215"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489"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restart"/>
            <w:tcBorders>
              <w:top w:val="single" w:color="auto" w:sz="4" w:space="0"/>
              <w:left w:val="single" w:color="auto" w:sz="4" w:space="0"/>
              <w:right w:val="single" w:color="auto" w:sz="4" w:space="0"/>
            </w:tcBorders>
            <w:vAlign w:val="center"/>
          </w:tcPr>
          <w:p>
            <w:pPr>
              <w:spacing w:line="320" w:lineRule="exact"/>
              <w:rPr>
                <w:rFonts w:ascii="宋体" w:hAnsi="宋体"/>
                <w:b/>
                <w:bCs/>
                <w:color w:val="000000"/>
                <w:sz w:val="24"/>
              </w:rPr>
            </w:pPr>
            <w:r>
              <w:rPr>
                <w:rFonts w:hint="eastAsia" w:ascii="宋体" w:hAnsi="宋体"/>
                <w:b/>
                <w:bCs/>
                <w:color w:val="000000"/>
                <w:sz w:val="24"/>
              </w:rPr>
              <w:t>人员管理</w:t>
            </w:r>
          </w:p>
          <w:p>
            <w:pPr>
              <w:spacing w:line="320" w:lineRule="exact"/>
              <w:rPr>
                <w:rFonts w:ascii="宋体" w:hAnsi="宋体"/>
                <w:b/>
                <w:bCs/>
                <w:color w:val="000000"/>
                <w:sz w:val="24"/>
              </w:rPr>
            </w:pPr>
          </w:p>
        </w:tc>
        <w:tc>
          <w:tcPr>
            <w:tcW w:w="959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left="42" w:leftChars="20" w:right="42" w:rightChars="20"/>
              <w:rPr>
                <w:rFonts w:ascii="宋体" w:hAnsi="宋体" w:cs="仿宋_GB2312"/>
                <w:color w:val="000000"/>
                <w:kern w:val="0"/>
                <w:sz w:val="24"/>
              </w:rPr>
            </w:pPr>
            <w:r>
              <w:rPr>
                <w:rFonts w:hint="eastAsia" w:ascii="宋体" w:hAnsi="宋体" w:cs="仿宋_GB2312"/>
                <w:color w:val="000000"/>
                <w:kern w:val="0"/>
                <w:sz w:val="24"/>
              </w:rPr>
              <w:t>6.按要求配备专职食品安全管理人员，食品安全管理员经过食品安全培训合格、在岗并按规定履行职责。经抽查考核不具备食品安全相关专业知识和管理能力的，不得上岗。</w:t>
            </w: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ascii="宋体" w:hAnsi="宋体"/>
                <w:b/>
                <w:bCs/>
                <w:color w:val="000000"/>
                <w:sz w:val="24"/>
              </w:rPr>
            </w:pPr>
          </w:p>
          <w:p>
            <w:pPr>
              <w:spacing w:line="320" w:lineRule="exact"/>
              <w:ind w:firstLine="482"/>
              <w:jc w:val="right"/>
              <w:rPr>
                <w:rFonts w:ascii="宋体" w:hAnsi="宋体"/>
                <w:b/>
                <w:bCs/>
                <w:color w:val="000000"/>
                <w:sz w:val="24"/>
              </w:rPr>
            </w:pPr>
          </w:p>
          <w:p>
            <w:pPr>
              <w:spacing w:line="320" w:lineRule="exact"/>
              <w:jc w:val="right"/>
              <w:rPr>
                <w:rFonts w:ascii="宋体" w:hAnsi="宋体"/>
                <w:b/>
                <w:bCs/>
                <w:color w:val="000000"/>
                <w:sz w:val="24"/>
              </w:rPr>
            </w:pPr>
            <w:r>
              <w:rPr>
                <w:rFonts w:hint="eastAsia" w:ascii="宋体" w:hAnsi="宋体"/>
                <w:b/>
                <w:bCs/>
                <w:color w:val="000000"/>
                <w:sz w:val="24"/>
              </w:rPr>
              <w:t>5</w:t>
            </w:r>
          </w:p>
        </w:tc>
        <w:tc>
          <w:tcPr>
            <w:tcW w:w="1215"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489"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right w:val="single" w:color="auto" w:sz="4" w:space="0"/>
            </w:tcBorders>
            <w:vAlign w:val="center"/>
          </w:tcPr>
          <w:p>
            <w:pPr>
              <w:spacing w:line="320" w:lineRule="exact"/>
              <w:rPr>
                <w:rFonts w:ascii="宋体" w:hAnsi="宋体"/>
                <w:b/>
                <w:bCs/>
                <w:color w:val="000000"/>
                <w:sz w:val="24"/>
              </w:rPr>
            </w:pPr>
          </w:p>
        </w:tc>
        <w:tc>
          <w:tcPr>
            <w:tcW w:w="959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ind w:left="42" w:leftChars="20" w:right="42" w:rightChars="20"/>
              <w:rPr>
                <w:rFonts w:hint="eastAsia" w:ascii="宋体" w:hAnsi="宋体" w:cs="仿宋_GB2312"/>
                <w:color w:val="000000"/>
                <w:kern w:val="0"/>
                <w:sz w:val="24"/>
              </w:rPr>
            </w:pPr>
            <w:r>
              <w:rPr>
                <w:rFonts w:hint="eastAsia" w:ascii="宋体" w:hAnsi="宋体" w:cs="仿宋_GB2312"/>
                <w:color w:val="000000"/>
                <w:kern w:val="0"/>
                <w:sz w:val="24"/>
              </w:rPr>
              <w:t>7.能提供为下属门店管理人员和从业人员按要求进行食品安全法律法规和食品安全经营管理制度的培训。并有管理记录。</w:t>
            </w: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hint="eastAsia" w:ascii="宋体" w:hAnsi="宋体"/>
                <w:b/>
                <w:bCs/>
                <w:color w:val="000000"/>
                <w:sz w:val="24"/>
              </w:rPr>
            </w:pPr>
            <w:r>
              <w:rPr>
                <w:rFonts w:hint="eastAsia" w:ascii="宋体" w:hAnsi="宋体"/>
                <w:b/>
                <w:bCs/>
                <w:color w:val="000000"/>
                <w:sz w:val="24"/>
              </w:rPr>
              <w:t>5</w:t>
            </w:r>
          </w:p>
        </w:tc>
        <w:tc>
          <w:tcPr>
            <w:tcW w:w="1215"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48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left="20" w:right="20"/>
              <w:rPr>
                <w:rFonts w:hint="eastAsia" w:ascii="宋体" w:hAnsi="宋体"/>
                <w:b/>
                <w:bCs/>
                <w:sz w:val="24"/>
              </w:rPr>
            </w:pPr>
            <w:r>
              <w:rPr>
                <w:rFonts w:hint="eastAsia" w:ascii="宋体" w:hAnsi="宋体"/>
                <w:b/>
                <w:bCs/>
                <w:sz w:val="24"/>
              </w:rPr>
              <w:t>原料控制</w:t>
            </w:r>
          </w:p>
        </w:tc>
        <w:tc>
          <w:tcPr>
            <w:tcW w:w="95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20" w:right="20"/>
              <w:rPr>
                <w:rFonts w:hint="eastAsia" w:ascii="宋体" w:hAnsi="宋体"/>
                <w:sz w:val="24"/>
              </w:rPr>
            </w:pPr>
            <w:r>
              <w:rPr>
                <w:rFonts w:hint="eastAsia" w:ascii="宋体" w:hAnsi="宋体"/>
                <w:sz w:val="24"/>
              </w:rPr>
              <w:t>8.建立食品采购、配送电子管理</w:t>
            </w:r>
            <w:r>
              <w:rPr>
                <w:rFonts w:hint="eastAsia" w:ascii="宋体" w:hAnsi="宋体"/>
                <w:sz w:val="24"/>
                <w:lang w:eastAsia="zh-CN"/>
              </w:rPr>
              <w:t>台账</w:t>
            </w:r>
            <w:r>
              <w:rPr>
                <w:rFonts w:hint="eastAsia" w:ascii="宋体" w:hAnsi="宋体"/>
                <w:sz w:val="24"/>
              </w:rPr>
              <w:t>，详细记录供货方信息、产品采购信息和门店信息，包括供货方许可证照、检验合格证明、地址、联系方式以及配送食品的品种等。使用一式两联以上的配送清单，分别由总部和门店留存。</w:t>
            </w:r>
          </w:p>
        </w:tc>
        <w:tc>
          <w:tcPr>
            <w:tcW w:w="7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20" w:right="20"/>
              <w:jc w:val="right"/>
              <w:rPr>
                <w:rFonts w:hint="eastAsia" w:ascii="宋体" w:hAnsi="宋体"/>
                <w:b/>
                <w:bCs/>
                <w:sz w:val="24"/>
              </w:rPr>
            </w:pPr>
            <w:r>
              <w:rPr>
                <w:rFonts w:hint="eastAsia" w:ascii="宋体" w:hAnsi="宋体"/>
                <w:b/>
                <w:bCs/>
                <w:sz w:val="24"/>
              </w:rPr>
              <w:t>5</w:t>
            </w:r>
          </w:p>
        </w:tc>
        <w:tc>
          <w:tcPr>
            <w:tcW w:w="121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left="20" w:right="20"/>
              <w:rPr>
                <w:rFonts w:hint="eastAsia" w:ascii="宋体" w:hAnsi="宋体"/>
                <w:sz w:val="24"/>
              </w:rPr>
            </w:pPr>
          </w:p>
        </w:tc>
        <w:tc>
          <w:tcPr>
            <w:tcW w:w="148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left="20" w:right="2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20" w:lineRule="exact"/>
              <w:ind w:left="20" w:right="20"/>
              <w:rPr>
                <w:rFonts w:hint="eastAsia" w:ascii="宋体" w:hAnsi="宋体"/>
                <w:b/>
                <w:bCs/>
                <w:sz w:val="24"/>
              </w:rPr>
            </w:pPr>
            <w:r>
              <w:rPr>
                <w:rFonts w:hint="eastAsia" w:ascii="宋体" w:hAnsi="宋体"/>
                <w:b/>
                <w:bCs/>
                <w:sz w:val="24"/>
              </w:rPr>
              <w:t>场所设施</w:t>
            </w:r>
          </w:p>
        </w:tc>
        <w:tc>
          <w:tcPr>
            <w:tcW w:w="95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20" w:right="20"/>
              <w:rPr>
                <w:rFonts w:hint="eastAsia" w:ascii="宋体" w:hAnsi="宋体"/>
                <w:sz w:val="24"/>
              </w:rPr>
            </w:pPr>
            <w:r>
              <w:rPr>
                <w:rFonts w:hint="eastAsia" w:ascii="宋体" w:hAnsi="宋体"/>
                <w:sz w:val="24"/>
              </w:rPr>
              <w:t>9.对下属门店的食品加工经营场所建设制定有统一要求，并符合有关许可审核标准中食品加工场所和流程布局的要求，达到“明厨亮灶”的许可要求。</w:t>
            </w:r>
          </w:p>
        </w:tc>
        <w:tc>
          <w:tcPr>
            <w:tcW w:w="7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20" w:right="20"/>
              <w:jc w:val="right"/>
              <w:rPr>
                <w:rFonts w:hint="eastAsia" w:ascii="宋体" w:hAnsi="宋体"/>
                <w:b/>
                <w:bCs/>
                <w:sz w:val="24"/>
              </w:rPr>
            </w:pPr>
            <w:r>
              <w:rPr>
                <w:rFonts w:hint="eastAsia" w:ascii="宋体" w:hAnsi="宋体"/>
                <w:b/>
                <w:bCs/>
                <w:sz w:val="24"/>
              </w:rPr>
              <w:t>5</w:t>
            </w:r>
          </w:p>
        </w:tc>
        <w:tc>
          <w:tcPr>
            <w:tcW w:w="121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left="20" w:right="20"/>
              <w:rPr>
                <w:rFonts w:hint="eastAsia" w:ascii="宋体" w:hAnsi="宋体"/>
                <w:sz w:val="24"/>
              </w:rPr>
            </w:pPr>
          </w:p>
        </w:tc>
        <w:tc>
          <w:tcPr>
            <w:tcW w:w="148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left="20" w:right="2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right w:val="single" w:color="auto" w:sz="4" w:space="0"/>
            </w:tcBorders>
            <w:vAlign w:val="center"/>
          </w:tcPr>
          <w:p>
            <w:pPr>
              <w:autoSpaceDE w:val="0"/>
              <w:autoSpaceDN w:val="0"/>
              <w:adjustRightInd w:val="0"/>
              <w:spacing w:line="320" w:lineRule="exact"/>
              <w:ind w:left="20" w:right="20"/>
              <w:rPr>
                <w:rFonts w:hint="eastAsia" w:ascii="宋体" w:hAnsi="宋体"/>
                <w:b/>
                <w:bCs/>
                <w:sz w:val="24"/>
              </w:rPr>
            </w:pPr>
          </w:p>
        </w:tc>
        <w:tc>
          <w:tcPr>
            <w:tcW w:w="95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20" w:right="20"/>
              <w:rPr>
                <w:rFonts w:hint="eastAsia" w:ascii="宋体" w:hAnsi="宋体"/>
                <w:sz w:val="24"/>
              </w:rPr>
            </w:pPr>
            <w:r>
              <w:rPr>
                <w:rFonts w:hint="eastAsia" w:ascii="宋体" w:hAnsi="宋体"/>
                <w:sz w:val="24"/>
              </w:rPr>
              <w:t>10.食品贮存、实验室场所与工具、容器、设施符合许可审核标准，并能正常运行。</w:t>
            </w:r>
          </w:p>
        </w:tc>
        <w:tc>
          <w:tcPr>
            <w:tcW w:w="7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20" w:right="20"/>
              <w:jc w:val="right"/>
              <w:rPr>
                <w:rFonts w:hint="eastAsia" w:ascii="宋体" w:hAnsi="宋体"/>
                <w:b/>
                <w:bCs/>
                <w:sz w:val="24"/>
              </w:rPr>
            </w:pPr>
            <w:r>
              <w:rPr>
                <w:rFonts w:hint="eastAsia" w:ascii="宋体" w:hAnsi="宋体"/>
                <w:b/>
                <w:bCs/>
                <w:sz w:val="24"/>
              </w:rPr>
              <w:t>5</w:t>
            </w:r>
          </w:p>
        </w:tc>
        <w:tc>
          <w:tcPr>
            <w:tcW w:w="121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left="20" w:right="20"/>
              <w:rPr>
                <w:rFonts w:hint="eastAsia" w:ascii="宋体" w:hAnsi="宋体"/>
                <w:sz w:val="24"/>
              </w:rPr>
            </w:pPr>
          </w:p>
        </w:tc>
        <w:tc>
          <w:tcPr>
            <w:tcW w:w="148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left="20" w:right="2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left="20" w:right="20"/>
              <w:rPr>
                <w:rFonts w:hint="eastAsia" w:ascii="宋体" w:hAnsi="宋体"/>
                <w:b/>
                <w:bCs/>
                <w:sz w:val="24"/>
              </w:rPr>
            </w:pPr>
            <w:r>
              <w:rPr>
                <w:rFonts w:hint="eastAsia" w:ascii="宋体" w:hAnsi="宋体"/>
                <w:b/>
                <w:bCs/>
                <w:sz w:val="24"/>
              </w:rPr>
              <w:t>运输</w:t>
            </w:r>
          </w:p>
        </w:tc>
        <w:tc>
          <w:tcPr>
            <w:tcW w:w="95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20" w:right="20"/>
              <w:rPr>
                <w:rFonts w:hint="eastAsia" w:ascii="宋体" w:hAnsi="宋体"/>
                <w:sz w:val="24"/>
              </w:rPr>
            </w:pPr>
            <w:r>
              <w:rPr>
                <w:rFonts w:hint="eastAsia" w:ascii="宋体" w:hAnsi="宋体"/>
                <w:sz w:val="24"/>
              </w:rPr>
              <w:t>11.与设施配备与配送食品品种、数量相适应的封闭式专用运输车辆和专用密闭运输容器，车辆和容器内部材质和结构便于清洗和消毒。</w:t>
            </w:r>
          </w:p>
        </w:tc>
        <w:tc>
          <w:tcPr>
            <w:tcW w:w="7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20" w:right="20"/>
              <w:jc w:val="right"/>
              <w:rPr>
                <w:rFonts w:hint="eastAsia" w:ascii="宋体" w:hAnsi="宋体"/>
                <w:b/>
                <w:bCs/>
                <w:sz w:val="24"/>
              </w:rPr>
            </w:pPr>
            <w:r>
              <w:rPr>
                <w:rFonts w:hint="eastAsia" w:ascii="宋体" w:hAnsi="宋体"/>
                <w:b/>
                <w:bCs/>
                <w:sz w:val="24"/>
              </w:rPr>
              <w:t>5</w:t>
            </w:r>
          </w:p>
        </w:tc>
        <w:tc>
          <w:tcPr>
            <w:tcW w:w="121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left="20" w:right="20"/>
              <w:rPr>
                <w:rFonts w:hint="eastAsia" w:ascii="宋体" w:hAnsi="宋体"/>
                <w:sz w:val="24"/>
              </w:rPr>
            </w:pPr>
          </w:p>
        </w:tc>
        <w:tc>
          <w:tcPr>
            <w:tcW w:w="148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20" w:lineRule="exact"/>
              <w:ind w:left="20" w:right="2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restart"/>
            <w:tcBorders>
              <w:left w:val="single" w:color="auto" w:sz="4" w:space="0"/>
              <w:right w:val="single" w:color="auto" w:sz="4" w:space="0"/>
            </w:tcBorders>
            <w:vAlign w:val="center"/>
          </w:tcPr>
          <w:p>
            <w:pPr>
              <w:spacing w:line="320" w:lineRule="exact"/>
              <w:ind w:right="-86" w:rightChars="-41"/>
              <w:rPr>
                <w:rFonts w:hint="eastAsia" w:ascii="宋体" w:hAnsi="宋体"/>
                <w:color w:val="000000"/>
                <w:sz w:val="24"/>
              </w:rPr>
            </w:pPr>
            <w:r>
              <w:rPr>
                <w:rFonts w:hint="eastAsia" w:ascii="宋体" w:hAnsi="宋体"/>
                <w:b/>
                <w:bCs/>
                <w:color w:val="000000"/>
                <w:sz w:val="24"/>
              </w:rPr>
              <w:t>其他</w:t>
            </w:r>
          </w:p>
        </w:tc>
        <w:tc>
          <w:tcPr>
            <w:tcW w:w="95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20" w:right="20"/>
              <w:rPr>
                <w:rFonts w:hint="eastAsia" w:ascii="宋体" w:hAnsi="宋体"/>
                <w:color w:val="000000"/>
                <w:sz w:val="24"/>
              </w:rPr>
            </w:pPr>
            <w:r>
              <w:rPr>
                <w:rFonts w:hint="eastAsia" w:ascii="宋体" w:hAnsi="宋体"/>
                <w:color w:val="000000"/>
                <w:sz w:val="24"/>
              </w:rPr>
              <w:t>12.</w:t>
            </w:r>
            <w:r>
              <w:rPr>
                <w:rFonts w:hint="eastAsia" w:ascii="宋体" w:hAnsi="宋体" w:cs="仿宋_GB2312"/>
                <w:color w:val="000000"/>
                <w:kern w:val="0"/>
                <w:szCs w:val="21"/>
              </w:rPr>
              <w:t>总部及所属门店造成重大食品安全事故和影响较大的食品安全不良社会影响。</w:t>
            </w: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240" w:firstLineChars="100"/>
              <w:jc w:val="right"/>
              <w:rPr>
                <w:rFonts w:hint="eastAsia" w:ascii="宋体" w:hAnsi="宋体"/>
                <w:b/>
                <w:bCs/>
                <w:color w:val="000000"/>
                <w:sz w:val="24"/>
              </w:rPr>
            </w:pPr>
            <w:r>
              <w:rPr>
                <w:rFonts w:hint="eastAsia" w:ascii="宋体" w:hAnsi="宋体"/>
                <w:b/>
                <w:bCs/>
                <w:color w:val="000000"/>
                <w:sz w:val="24"/>
              </w:rPr>
              <w:t>5</w:t>
            </w:r>
          </w:p>
        </w:tc>
        <w:tc>
          <w:tcPr>
            <w:tcW w:w="1215"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48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right w:val="single" w:color="auto" w:sz="4" w:space="0"/>
            </w:tcBorders>
            <w:vAlign w:val="center"/>
          </w:tcPr>
          <w:p>
            <w:pPr>
              <w:spacing w:line="320" w:lineRule="exact"/>
              <w:ind w:right="-86" w:rightChars="-41"/>
              <w:rPr>
                <w:rFonts w:hint="eastAsia" w:ascii="宋体" w:hAnsi="宋体"/>
                <w:b/>
                <w:bCs/>
                <w:color w:val="000000"/>
                <w:sz w:val="24"/>
              </w:rPr>
            </w:pPr>
          </w:p>
        </w:tc>
        <w:tc>
          <w:tcPr>
            <w:tcW w:w="95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20" w:right="20"/>
              <w:rPr>
                <w:rFonts w:hint="eastAsia" w:ascii="宋体" w:hAnsi="宋体"/>
                <w:color w:val="000000"/>
                <w:sz w:val="24"/>
              </w:rPr>
            </w:pPr>
            <w:r>
              <w:rPr>
                <w:rFonts w:hint="eastAsia" w:ascii="宋体" w:hAnsi="宋体"/>
                <w:color w:val="000000"/>
                <w:sz w:val="24"/>
              </w:rPr>
              <w:t>13.下属门店均实施“明厨亮灶”、按要求处理废弃油脂和餐厨垃圾、遵守控烟要求、安全生产告告知书已张贴。</w:t>
            </w:r>
            <w:bookmarkStart w:id="0" w:name="_GoBack"/>
            <w:bookmarkEnd w:id="0"/>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ascii="宋体" w:hAnsi="宋体"/>
                <w:b/>
                <w:bCs/>
                <w:color w:val="000000"/>
                <w:sz w:val="24"/>
              </w:rPr>
            </w:pPr>
            <w:r>
              <w:rPr>
                <w:rFonts w:hint="eastAsia" w:ascii="宋体" w:hAnsi="宋体"/>
                <w:b/>
                <w:bCs/>
                <w:color w:val="000000"/>
                <w:sz w:val="24"/>
              </w:rPr>
              <w:t>5</w:t>
            </w:r>
          </w:p>
        </w:tc>
        <w:tc>
          <w:tcPr>
            <w:tcW w:w="1215"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48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48" w:type="dxa"/>
            <w:vMerge w:val="continue"/>
            <w:tcBorders>
              <w:left w:val="single" w:color="auto" w:sz="4" w:space="0"/>
              <w:bottom w:val="single" w:color="auto" w:sz="4" w:space="0"/>
              <w:right w:val="single" w:color="auto" w:sz="4" w:space="0"/>
            </w:tcBorders>
            <w:vAlign w:val="center"/>
          </w:tcPr>
          <w:p>
            <w:pPr>
              <w:spacing w:line="320" w:lineRule="exact"/>
              <w:ind w:right="-86" w:rightChars="-41"/>
              <w:rPr>
                <w:rFonts w:hint="eastAsia" w:ascii="宋体" w:hAnsi="宋体"/>
                <w:b/>
                <w:bCs/>
                <w:color w:val="000000"/>
                <w:sz w:val="24"/>
              </w:rPr>
            </w:pPr>
          </w:p>
        </w:tc>
        <w:tc>
          <w:tcPr>
            <w:tcW w:w="95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20" w:right="20"/>
              <w:rPr>
                <w:rFonts w:hint="eastAsia" w:ascii="宋体" w:hAnsi="宋体"/>
                <w:color w:val="000000"/>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2"/>
              <w:jc w:val="right"/>
              <w:rPr>
                <w:rFonts w:hint="eastAsia" w:ascii="宋体" w:hAnsi="宋体"/>
                <w:b/>
                <w:bCs/>
                <w:color w:val="000000"/>
                <w:sz w:val="24"/>
              </w:rPr>
            </w:pPr>
          </w:p>
        </w:tc>
        <w:tc>
          <w:tcPr>
            <w:tcW w:w="1215" w:type="dxa"/>
            <w:tcBorders>
              <w:top w:val="single" w:color="auto" w:sz="4" w:space="0"/>
              <w:left w:val="single" w:color="auto" w:sz="4" w:space="0"/>
              <w:bottom w:val="single" w:color="auto" w:sz="4" w:space="0"/>
              <w:right w:val="single" w:color="auto" w:sz="4" w:space="0"/>
            </w:tcBorders>
          </w:tcPr>
          <w:p>
            <w:pPr>
              <w:spacing w:line="320" w:lineRule="exact"/>
              <w:ind w:firstLine="482"/>
              <w:jc w:val="center"/>
              <w:rPr>
                <w:rFonts w:ascii="宋体" w:hAnsi="宋体"/>
                <w:b/>
                <w:color w:val="000000"/>
                <w:sz w:val="24"/>
              </w:rPr>
            </w:pPr>
          </w:p>
        </w:tc>
        <w:tc>
          <w:tcPr>
            <w:tcW w:w="1489" w:type="dxa"/>
            <w:tcBorders>
              <w:top w:val="single" w:color="auto" w:sz="4" w:space="0"/>
              <w:left w:val="single" w:color="auto" w:sz="4" w:space="0"/>
              <w:bottom w:val="single" w:color="auto" w:sz="4" w:space="0"/>
              <w:right w:val="single" w:color="auto" w:sz="4" w:space="0"/>
            </w:tcBorders>
          </w:tcPr>
          <w:p>
            <w:pPr>
              <w:spacing w:line="320" w:lineRule="exact"/>
              <w:rPr>
                <w:rFonts w:hint="eastAsia" w:ascii="宋体" w:hAnsi="宋体"/>
                <w:b/>
                <w:color w:val="000000"/>
                <w:sz w:val="24"/>
              </w:rPr>
            </w:pPr>
          </w:p>
        </w:tc>
      </w:tr>
    </w:tbl>
    <w:p>
      <w:pPr>
        <w:spacing w:line="320" w:lineRule="exact"/>
        <w:ind w:left="-657" w:leftChars="-313" w:right="-1079" w:rightChars="-514" w:firstLine="737" w:firstLineChars="350"/>
        <w:rPr>
          <w:rFonts w:hint="eastAsia" w:ascii="仿宋" w:hAnsi="仿宋" w:cs="宋体"/>
          <w:color w:val="000000"/>
          <w:kern w:val="0"/>
          <w:sz w:val="24"/>
        </w:rPr>
      </w:pPr>
      <w:r>
        <w:rPr>
          <w:rFonts w:hint="eastAsia" w:ascii="仿宋" w:hAnsi="仿宋"/>
          <w:b/>
          <w:bCs/>
          <w:color w:val="000000"/>
          <w:szCs w:val="32"/>
        </w:rPr>
        <w:t xml:space="preserve">注 </w:t>
      </w:r>
      <w:r>
        <w:rPr>
          <w:rFonts w:hint="eastAsia" w:ascii="仿宋" w:hAnsi="仿宋"/>
          <w:color w:val="000000"/>
          <w:szCs w:val="32"/>
        </w:rPr>
        <w:t>1.</w:t>
      </w:r>
      <w:r>
        <w:rPr>
          <w:rFonts w:hint="eastAsia" w:ascii="宋体" w:hAnsi="宋体"/>
          <w:color w:val="000000"/>
          <w:sz w:val="24"/>
        </w:rPr>
        <w:t>★为分值为20分的高风险项目，※为A级必备项，</w:t>
      </w:r>
      <w:r>
        <w:rPr>
          <w:rFonts w:hint="eastAsia" w:ascii="ˎ̥" w:hAnsi="ˎ̥" w:cs="Arial"/>
          <w:b/>
          <w:bCs/>
          <w:color w:val="000000"/>
          <w:kern w:val="0"/>
          <w:sz w:val="23"/>
          <w:szCs w:val="23"/>
        </w:rPr>
        <w:t>◎</w:t>
      </w:r>
      <w:r>
        <w:rPr>
          <w:rFonts w:hint="eastAsia" w:ascii="ˎ̥" w:hAnsi="ˎ̥" w:cs="Arial"/>
          <w:color w:val="000000"/>
          <w:kern w:val="0"/>
          <w:sz w:val="23"/>
          <w:szCs w:val="23"/>
        </w:rPr>
        <w:t>为依据不同类型或不同品种的餐饮单位可以</w:t>
      </w:r>
      <w:r>
        <w:rPr>
          <w:rFonts w:hint="eastAsia" w:ascii="仿宋" w:hAnsi="仿宋" w:cs="宋体"/>
          <w:color w:val="000000"/>
          <w:kern w:val="0"/>
          <w:sz w:val="24"/>
        </w:rPr>
        <w:t>存在合理缺项，但有相应经营</w:t>
      </w:r>
    </w:p>
    <w:p>
      <w:pPr>
        <w:spacing w:line="320" w:lineRule="exact"/>
        <w:ind w:left="-657" w:leftChars="-313" w:right="-1079" w:rightChars="-514" w:firstLine="364" w:firstLineChars="152"/>
        <w:rPr>
          <w:rFonts w:ascii="仿宋" w:hAnsi="仿宋" w:cs="宋体"/>
          <w:color w:val="000000"/>
          <w:kern w:val="0"/>
          <w:sz w:val="24"/>
        </w:rPr>
      </w:pPr>
      <w:r>
        <w:rPr>
          <w:rFonts w:hint="eastAsia" w:ascii="仿宋" w:hAnsi="仿宋" w:cs="宋体"/>
          <w:color w:val="000000"/>
          <w:kern w:val="0"/>
          <w:sz w:val="24"/>
        </w:rPr>
        <w:t>范围的必须检查记录</w:t>
      </w:r>
      <w:r>
        <w:rPr>
          <w:rFonts w:hint="eastAsia" w:ascii="宋体" w:hAnsi="宋体"/>
          <w:color w:val="000000"/>
          <w:sz w:val="24"/>
        </w:rPr>
        <w:t>；</w:t>
      </w:r>
      <w:r>
        <w:rPr>
          <w:rFonts w:hint="eastAsia" w:ascii="仿宋" w:hAnsi="仿宋" w:cs="宋体"/>
          <w:color w:val="000000"/>
          <w:kern w:val="0"/>
          <w:sz w:val="24"/>
        </w:rPr>
        <w:t>2.</w:t>
      </w:r>
      <w:r>
        <w:rPr>
          <w:rFonts w:ascii="仿宋" w:hAnsi="仿宋" w:cs="宋体"/>
          <w:color w:val="000000"/>
          <w:kern w:val="0"/>
          <w:sz w:val="24"/>
        </w:rPr>
        <w:t>评价结果为“否”的，需要在“备注”栏注明原因；发现存在其他问题的，可以在“其他”一栏进行记录。</w:t>
      </w:r>
    </w:p>
    <w:tbl>
      <w:tblPr>
        <w:tblStyle w:val="7"/>
        <w:tblpPr w:leftFromText="181" w:rightFromText="181" w:vertAnchor="page" w:horzAnchor="margin" w:tblpXSpec="center" w:tblpY="59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46"/>
        <w:gridCol w:w="2424"/>
        <w:gridCol w:w="5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59" w:type="dxa"/>
            <w:vMerge w:val="restart"/>
            <w:tcBorders>
              <w:top w:val="single" w:color="auto" w:sz="4" w:space="0"/>
              <w:left w:val="single" w:color="auto" w:sz="4" w:space="0"/>
              <w:right w:val="single" w:color="auto" w:sz="4" w:space="0"/>
            </w:tcBorders>
            <w:vAlign w:val="center"/>
          </w:tcPr>
          <w:p>
            <w:pPr>
              <w:spacing w:line="100" w:lineRule="atLeast"/>
              <w:jc w:val="center"/>
              <w:rPr>
                <w:rFonts w:ascii="宋体" w:hAnsi="宋体"/>
                <w:b/>
                <w:bCs/>
                <w:color w:val="000000"/>
                <w:sz w:val="24"/>
              </w:rPr>
            </w:pPr>
            <w:r>
              <w:rPr>
                <w:rFonts w:hint="eastAsia" w:ascii="宋体" w:hAnsi="宋体"/>
                <w:b/>
                <w:bCs/>
                <w:color w:val="000000"/>
                <w:sz w:val="24"/>
              </w:rPr>
              <w:t>评价</w:t>
            </w:r>
          </w:p>
          <w:p>
            <w:pPr>
              <w:spacing w:line="100" w:lineRule="atLeast"/>
              <w:jc w:val="center"/>
              <w:rPr>
                <w:rFonts w:ascii="宋体" w:hAnsi="宋体"/>
                <w:color w:val="000000"/>
                <w:sz w:val="24"/>
              </w:rPr>
            </w:pPr>
            <w:r>
              <w:rPr>
                <w:rFonts w:hint="eastAsia" w:ascii="宋体" w:hAnsi="宋体"/>
                <w:b/>
                <w:bCs/>
                <w:color w:val="000000"/>
                <w:sz w:val="24"/>
              </w:rPr>
              <w:t>标准</w:t>
            </w:r>
          </w:p>
        </w:tc>
        <w:tc>
          <w:tcPr>
            <w:tcW w:w="23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24"/>
              </w:rPr>
            </w:pPr>
            <w:r>
              <w:rPr>
                <w:rFonts w:hint="eastAsia" w:ascii="宋体" w:hAnsi="宋体"/>
                <w:color w:val="000000"/>
                <w:sz w:val="24"/>
              </w:rPr>
              <w:t>评价结论</w:t>
            </w:r>
          </w:p>
        </w:tc>
        <w:tc>
          <w:tcPr>
            <w:tcW w:w="24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24"/>
              </w:rPr>
            </w:pPr>
            <w:r>
              <w:rPr>
                <w:rFonts w:hint="eastAsia" w:ascii="宋体" w:hAnsi="宋体"/>
                <w:color w:val="000000"/>
                <w:sz w:val="24"/>
              </w:rPr>
              <w:t>违法记分</w:t>
            </w:r>
          </w:p>
        </w:tc>
        <w:tc>
          <w:tcPr>
            <w:tcW w:w="59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24"/>
              </w:rPr>
            </w:pPr>
            <w:r>
              <w:rPr>
                <w:rFonts w:hint="eastAsia" w:ascii="宋体" w:hAnsi="宋体"/>
                <w:b/>
                <w:bCs/>
                <w:color w:val="000000"/>
                <w:sz w:val="24"/>
              </w:rPr>
              <w:t>检查记分结果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9" w:type="dxa"/>
            <w:vMerge w:val="continue"/>
            <w:tcBorders>
              <w:left w:val="single" w:color="auto" w:sz="4" w:space="0"/>
              <w:right w:val="single" w:color="auto" w:sz="4" w:space="0"/>
            </w:tcBorders>
            <w:vAlign w:val="center"/>
          </w:tcPr>
          <w:p>
            <w:pPr>
              <w:widowControl/>
              <w:jc w:val="center"/>
              <w:rPr>
                <w:rFonts w:ascii="宋体" w:hAnsi="宋体"/>
                <w:color w:val="000000"/>
                <w:sz w:val="24"/>
              </w:rPr>
            </w:pPr>
          </w:p>
        </w:tc>
        <w:tc>
          <w:tcPr>
            <w:tcW w:w="23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24"/>
              </w:rPr>
            </w:pPr>
            <w:r>
              <w:rPr>
                <w:rFonts w:hint="eastAsia" w:ascii="宋体" w:hAnsi="宋体"/>
                <w:color w:val="000000"/>
                <w:sz w:val="24"/>
              </w:rPr>
              <w:t>量化A级（优秀）</w:t>
            </w:r>
          </w:p>
        </w:tc>
        <w:tc>
          <w:tcPr>
            <w:tcW w:w="24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24"/>
              </w:rPr>
            </w:pPr>
            <w:r>
              <w:rPr>
                <w:rFonts w:ascii="Arial" w:hAnsi="Arial" w:cs="Arial"/>
                <w:color w:val="000000"/>
                <w:sz w:val="24"/>
              </w:rPr>
              <w:t>≤</w:t>
            </w:r>
            <w:r>
              <w:rPr>
                <w:rFonts w:hint="eastAsia" w:ascii="宋体" w:hAnsi="宋体" w:cs="宋体"/>
                <w:color w:val="000000"/>
                <w:sz w:val="24"/>
              </w:rPr>
              <w:t>5</w:t>
            </w:r>
            <w:r>
              <w:rPr>
                <w:rFonts w:hint="eastAsia" w:ascii="宋体" w:hAnsi="宋体"/>
                <w:color w:val="000000"/>
                <w:sz w:val="24"/>
              </w:rPr>
              <w:t>分</w:t>
            </w:r>
          </w:p>
        </w:tc>
        <w:tc>
          <w:tcPr>
            <w:tcW w:w="596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left="1560" w:hanging="1560" w:hangingChars="650"/>
              <w:jc w:val="center"/>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59" w:type="dxa"/>
            <w:vMerge w:val="continue"/>
            <w:tcBorders>
              <w:left w:val="single" w:color="auto" w:sz="4" w:space="0"/>
              <w:right w:val="single" w:color="auto" w:sz="4" w:space="0"/>
            </w:tcBorders>
            <w:vAlign w:val="center"/>
          </w:tcPr>
          <w:p>
            <w:pPr>
              <w:widowControl/>
              <w:jc w:val="center"/>
              <w:rPr>
                <w:rFonts w:ascii="宋体" w:hAnsi="宋体"/>
                <w:color w:val="000000"/>
                <w:sz w:val="24"/>
              </w:rPr>
            </w:pPr>
          </w:p>
        </w:tc>
        <w:tc>
          <w:tcPr>
            <w:tcW w:w="23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24"/>
              </w:rPr>
            </w:pPr>
            <w:r>
              <w:rPr>
                <w:rFonts w:hint="eastAsia" w:ascii="宋体" w:hAnsi="宋体"/>
                <w:color w:val="000000"/>
                <w:sz w:val="24"/>
              </w:rPr>
              <w:t>量化B级（良好）</w:t>
            </w:r>
          </w:p>
        </w:tc>
        <w:tc>
          <w:tcPr>
            <w:tcW w:w="24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24"/>
              </w:rPr>
            </w:pPr>
            <w:r>
              <w:rPr>
                <w:rFonts w:hint="eastAsia" w:ascii="宋体" w:hAnsi="宋体" w:cs="宋体"/>
                <w:color w:val="000000"/>
                <w:sz w:val="24"/>
              </w:rPr>
              <w:t>&lt;</w:t>
            </w:r>
            <w:r>
              <w:rPr>
                <w:rFonts w:hint="eastAsia" w:ascii="宋体" w:hAnsi="宋体"/>
                <w:color w:val="000000"/>
                <w:sz w:val="24"/>
              </w:rPr>
              <w:t>15分</w:t>
            </w:r>
            <w:r>
              <w:rPr>
                <w:rFonts w:hint="eastAsia" w:ascii="宋体" w:hAnsi="宋体" w:cs="宋体"/>
                <w:color w:val="000000"/>
                <w:sz w:val="24"/>
              </w:rPr>
              <w:t>≧5</w:t>
            </w:r>
            <w:r>
              <w:rPr>
                <w:rFonts w:hint="eastAsia" w:ascii="宋体" w:hAnsi="宋体"/>
                <w:color w:val="000000"/>
                <w:sz w:val="24"/>
              </w:rPr>
              <w:t>分</w:t>
            </w:r>
          </w:p>
        </w:tc>
        <w:tc>
          <w:tcPr>
            <w:tcW w:w="59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9" w:type="dxa"/>
            <w:vMerge w:val="continue"/>
            <w:tcBorders>
              <w:left w:val="single" w:color="auto" w:sz="4" w:space="0"/>
              <w:right w:val="single" w:color="auto" w:sz="4" w:space="0"/>
            </w:tcBorders>
            <w:vAlign w:val="center"/>
          </w:tcPr>
          <w:p>
            <w:pPr>
              <w:widowControl/>
              <w:jc w:val="center"/>
              <w:rPr>
                <w:rFonts w:ascii="宋体" w:hAnsi="宋体"/>
                <w:color w:val="000000"/>
                <w:sz w:val="24"/>
              </w:rPr>
            </w:pPr>
          </w:p>
        </w:tc>
        <w:tc>
          <w:tcPr>
            <w:tcW w:w="23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24"/>
              </w:rPr>
            </w:pPr>
            <w:r>
              <w:rPr>
                <w:rFonts w:hint="eastAsia" w:ascii="宋体" w:hAnsi="宋体"/>
                <w:color w:val="000000"/>
                <w:sz w:val="24"/>
              </w:rPr>
              <w:t>量化C级（一般）</w:t>
            </w:r>
          </w:p>
        </w:tc>
        <w:tc>
          <w:tcPr>
            <w:tcW w:w="24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24"/>
              </w:rPr>
            </w:pPr>
            <w:r>
              <w:rPr>
                <w:rFonts w:hint="eastAsia" w:ascii="宋体" w:hAnsi="宋体" w:cs="宋体"/>
                <w:color w:val="000000"/>
                <w:sz w:val="24"/>
              </w:rPr>
              <w:t>&lt;</w:t>
            </w:r>
            <w:r>
              <w:rPr>
                <w:rFonts w:hint="eastAsia" w:ascii="宋体" w:hAnsi="宋体"/>
                <w:color w:val="000000"/>
                <w:sz w:val="24"/>
              </w:rPr>
              <w:t>20分</w:t>
            </w:r>
            <w:r>
              <w:rPr>
                <w:rFonts w:hint="eastAsia" w:ascii="宋体" w:hAnsi="宋体" w:cs="宋体"/>
                <w:color w:val="000000"/>
                <w:sz w:val="24"/>
              </w:rPr>
              <w:t>≧15</w:t>
            </w:r>
            <w:r>
              <w:rPr>
                <w:rFonts w:hint="eastAsia" w:ascii="宋体" w:hAnsi="宋体"/>
                <w:color w:val="000000"/>
                <w:sz w:val="24"/>
              </w:rPr>
              <w:t>分</w:t>
            </w:r>
          </w:p>
        </w:tc>
        <w:tc>
          <w:tcPr>
            <w:tcW w:w="5963"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color w:val="000000"/>
                <w:sz w:val="24"/>
              </w:rPr>
            </w:pPr>
            <w:r>
              <w:rPr>
                <w:rFonts w:hint="eastAsia" w:ascii="宋体" w:hAnsi="宋体"/>
                <w:b/>
                <w:color w:val="000000"/>
                <w:sz w:val="24"/>
              </w:rPr>
              <w:t>结论：</w:t>
            </w:r>
            <w:r>
              <w:rPr>
                <w:rFonts w:hint="eastAsia" w:ascii="宋体" w:hAnsi="宋体"/>
                <w:color w:val="000000"/>
                <w:sz w:val="24"/>
              </w:rPr>
              <w:t>□</w:t>
            </w:r>
            <w:r>
              <w:rPr>
                <w:rFonts w:hint="eastAsia" w:ascii="宋体" w:hAnsi="宋体"/>
                <w:b/>
                <w:color w:val="000000"/>
                <w:sz w:val="24"/>
              </w:rPr>
              <w:t xml:space="preserve">A级  </w:t>
            </w:r>
            <w:r>
              <w:rPr>
                <w:rFonts w:hint="eastAsia" w:ascii="宋体" w:hAnsi="宋体"/>
                <w:color w:val="000000"/>
                <w:sz w:val="24"/>
              </w:rPr>
              <w:t>□</w:t>
            </w:r>
            <w:r>
              <w:rPr>
                <w:rFonts w:hint="eastAsia" w:ascii="宋体" w:hAnsi="宋体"/>
                <w:b/>
                <w:color w:val="000000"/>
                <w:sz w:val="24"/>
              </w:rPr>
              <w:t xml:space="preserve">B级  </w:t>
            </w:r>
            <w:r>
              <w:rPr>
                <w:rFonts w:hint="eastAsia" w:ascii="宋体" w:hAnsi="宋体"/>
                <w:color w:val="000000"/>
                <w:sz w:val="24"/>
              </w:rPr>
              <w:t>□</w:t>
            </w:r>
            <w:r>
              <w:rPr>
                <w:rFonts w:hint="eastAsia" w:ascii="宋体" w:hAnsi="宋体"/>
                <w:b/>
                <w:color w:val="000000"/>
                <w:sz w:val="24"/>
              </w:rPr>
              <w:t xml:space="preserve">C级 </w:t>
            </w:r>
            <w:r>
              <w:rPr>
                <w:rFonts w:hint="eastAsia" w:ascii="宋体" w:hAnsi="宋体"/>
                <w:color w:val="000000"/>
                <w:sz w:val="24"/>
              </w:rPr>
              <w:t>□</w:t>
            </w:r>
            <w:r>
              <w:rPr>
                <w:rFonts w:hint="eastAsia" w:ascii="宋体" w:hAnsi="宋体"/>
                <w:b/>
                <w:bCs/>
                <w:color w:val="000000"/>
                <w:sz w:val="24"/>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5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000000"/>
                <w:sz w:val="20"/>
                <w:szCs w:val="21"/>
              </w:rPr>
            </w:pPr>
          </w:p>
        </w:tc>
        <w:tc>
          <w:tcPr>
            <w:tcW w:w="2346" w:type="dxa"/>
            <w:tcBorders>
              <w:top w:val="single" w:color="auto" w:sz="4" w:space="0"/>
              <w:left w:val="single" w:color="auto" w:sz="4" w:space="0"/>
              <w:bottom w:val="single" w:color="auto" w:sz="4" w:space="0"/>
              <w:right w:val="single" w:color="auto" w:sz="4" w:space="0"/>
            </w:tcBorders>
          </w:tcPr>
          <w:p>
            <w:pPr>
              <w:spacing w:line="240" w:lineRule="exact"/>
              <w:ind w:firstLine="240" w:firstLineChars="100"/>
              <w:rPr>
                <w:rFonts w:ascii="宋体" w:hAnsi="宋体"/>
                <w:color w:val="000000"/>
                <w:sz w:val="24"/>
              </w:rPr>
            </w:pPr>
            <w:r>
              <w:rPr>
                <w:rFonts w:hint="eastAsia" w:ascii="宋体" w:hAnsi="宋体"/>
                <w:color w:val="000000"/>
                <w:sz w:val="24"/>
              </w:rPr>
              <w:t>量化D级(较差)</w:t>
            </w:r>
          </w:p>
        </w:tc>
        <w:tc>
          <w:tcPr>
            <w:tcW w:w="24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24"/>
              </w:rPr>
            </w:pPr>
            <w:r>
              <w:rPr>
                <w:rFonts w:hint="eastAsia" w:ascii="宋体" w:hAnsi="宋体" w:cs="宋体"/>
                <w:color w:val="000000"/>
                <w:sz w:val="24"/>
              </w:rPr>
              <w:t>≧</w:t>
            </w:r>
            <w:r>
              <w:rPr>
                <w:rFonts w:hint="eastAsia" w:ascii="宋体" w:hAnsi="宋体"/>
                <w:color w:val="000000"/>
                <w:sz w:val="24"/>
              </w:rPr>
              <w:t>20分</w:t>
            </w:r>
          </w:p>
        </w:tc>
        <w:tc>
          <w:tcPr>
            <w:tcW w:w="5963"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b/>
                <w:color w:val="000000"/>
                <w:sz w:val="24"/>
              </w:rPr>
            </w:pPr>
          </w:p>
        </w:tc>
      </w:tr>
    </w:tbl>
    <w:p>
      <w:pPr>
        <w:spacing w:line="360" w:lineRule="auto"/>
        <w:ind w:right="-1079" w:rightChars="-514"/>
        <w:rPr>
          <w:rFonts w:hint="eastAsia"/>
          <w:color w:val="000000"/>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spacing w:line="440" w:lineRule="exact"/>
        <w:sectPr>
          <w:pgSz w:w="16783" w:h="11850" w:orient="landscape"/>
          <w:pgMar w:top="1800" w:right="1440" w:bottom="1323" w:left="1440" w:header="851" w:footer="992" w:gutter="0"/>
          <w:pgNumType w:fmt="numberInDash"/>
          <w:cols w:space="720" w:num="1"/>
          <w:docGrid w:type="lines" w:linePitch="312" w:charSpace="0"/>
        </w:sectPr>
      </w:pPr>
    </w:p>
    <w:p>
      <w:pPr>
        <w:rPr>
          <w:rFonts w:hint="eastAsia" w:ascii="仿宋" w:hAnsi="仿宋" w:eastAsia="仿宋" w:cs="宋体"/>
          <w:bCs/>
          <w:color w:val="000000"/>
          <w:sz w:val="32"/>
          <w:szCs w:val="32"/>
        </w:rPr>
      </w:pPr>
      <w:r>
        <w:rPr>
          <w:rFonts w:hint="eastAsia" w:ascii="仿宋" w:hAnsi="仿宋" w:eastAsia="仿宋" w:cs="宋体"/>
          <w:bCs/>
          <w:color w:val="000000"/>
          <w:sz w:val="32"/>
          <w:szCs w:val="32"/>
        </w:rPr>
        <w:t>附件1-3</w:t>
      </w:r>
    </w:p>
    <w:p>
      <w:pPr>
        <w:pStyle w:val="23"/>
        <w:widowControl/>
        <w:ind w:firstLine="0"/>
        <w:jc w:val="center"/>
        <w:rPr>
          <w:rFonts w:ascii="华文中宋" w:hAnsi="华文中宋" w:eastAsia="华文中宋" w:cs="黑体"/>
          <w:sz w:val="36"/>
          <w:szCs w:val="32"/>
        </w:rPr>
      </w:pPr>
      <w:r>
        <w:rPr>
          <w:rStyle w:val="18"/>
          <w:rFonts w:hint="default" w:ascii="华文中宋" w:hAnsi="华文中宋" w:eastAsia="华文中宋" w:cs="黑体"/>
          <w:sz w:val="36"/>
          <w:szCs w:val="32"/>
        </w:rPr>
        <w:t>深圳市食品安全违法行为记分告知书</w:t>
      </w:r>
    </w:p>
    <w:p>
      <w:pPr>
        <w:jc w:val="center"/>
        <w:rPr>
          <w:rFonts w:hint="eastAsia" w:ascii="仿宋_GB2312" w:eastAsia="仿宋_GB2312"/>
          <w:color w:val="000000"/>
          <w:sz w:val="28"/>
          <w:szCs w:val="28"/>
        </w:rPr>
      </w:pPr>
      <w:r>
        <w:rPr>
          <w:rFonts w:hint="eastAsia" w:ascii="仿宋_GB2312" w:eastAsia="仿宋_GB2312"/>
          <w:color w:val="000000"/>
          <w:sz w:val="28"/>
          <w:szCs w:val="28"/>
        </w:rPr>
        <w:t>深市监（辖区局编码）</w:t>
      </w:r>
      <w:r>
        <w:rPr>
          <w:rFonts w:ascii="仿宋_GB2312" w:eastAsia="仿宋_GB2312"/>
          <w:color w:val="000000"/>
          <w:sz w:val="28"/>
          <w:szCs w:val="28"/>
        </w:rPr>
        <w:t>记分</w:t>
      </w:r>
      <w:r>
        <w:rPr>
          <w:rFonts w:hint="eastAsia" w:ascii="仿宋_GB2312" w:eastAsia="仿宋_GB2312"/>
          <w:color w:val="000000"/>
          <w:sz w:val="28"/>
          <w:szCs w:val="28"/>
        </w:rPr>
        <w:t xml:space="preserve">     [年月日]+序号</w:t>
      </w:r>
    </w:p>
    <w:p>
      <w:pPr>
        <w:spacing w:line="460" w:lineRule="exact"/>
        <w:jc w:val="left"/>
        <w:rPr>
          <w:rFonts w:hint="eastAsia" w:ascii="仿宋" w:hAnsi="仿宋" w:eastAsia="仿宋"/>
          <w:color w:val="000000"/>
          <w:sz w:val="28"/>
          <w:szCs w:val="28"/>
          <w:u w:val="single"/>
        </w:rPr>
      </w:pPr>
      <w:r>
        <w:rPr>
          <w:rFonts w:ascii="仿宋" w:hAnsi="仿宋" w:eastAsia="仿宋"/>
          <w:color w:val="000000"/>
          <w:sz w:val="28"/>
          <w:szCs w:val="28"/>
        </w:rPr>
        <w:pict>
          <v:line id="直接连接符 2" o:spid="_x0000_s2050" o:spt="20" style="position:absolute;left:0pt;margin-left:-0.3pt;margin-top:1.2pt;height:0pt;width:445.75pt;mso-wrap-distance-left:9pt;mso-wrap-distance-right:9pt;z-index:251660288;mso-width-relative:page;mso-height-relative:page;" coordsize="21600,21600" wrapcoords="0 0 21600 0 0 0">
            <v:path arrowok="t"/>
            <v:fill focussize="0,0"/>
            <v:stroke weight="2.25pt"/>
            <v:imagedata o:title=""/>
            <o:lock v:ext="edit"/>
            <w10:wrap type="tight"/>
          </v:line>
        </w:pict>
      </w:r>
      <w:r>
        <w:rPr>
          <w:rFonts w:hint="eastAsia" w:ascii="仿宋" w:hAnsi="仿宋" w:eastAsia="仿宋"/>
          <w:color w:val="000000"/>
          <w:sz w:val="28"/>
          <w:szCs w:val="28"/>
        </w:rPr>
        <w:t>单位名称：</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；负责人：</w:t>
      </w:r>
      <w:r>
        <w:rPr>
          <w:rFonts w:hint="eastAsia" w:ascii="仿宋" w:hAnsi="仿宋" w:eastAsia="仿宋"/>
          <w:color w:val="000000"/>
          <w:sz w:val="28"/>
          <w:szCs w:val="28"/>
          <w:u w:val="single"/>
        </w:rPr>
        <w:t xml:space="preserve">              </w:t>
      </w:r>
    </w:p>
    <w:p>
      <w:pPr>
        <w:spacing w:line="360" w:lineRule="auto"/>
        <w:rPr>
          <w:rFonts w:hint="eastAsia" w:ascii="仿宋" w:hAnsi="仿宋" w:eastAsia="仿宋"/>
          <w:color w:val="000000"/>
          <w:sz w:val="28"/>
          <w:szCs w:val="28"/>
        </w:rPr>
      </w:pP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；联系手机：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w:t>
      </w:r>
    </w:p>
    <w:p>
      <w:pPr>
        <w:pStyle w:val="23"/>
        <w:widowControl/>
        <w:wordWrap/>
        <w:snapToGrid w:val="0"/>
        <w:spacing w:line="440" w:lineRule="exact"/>
        <w:ind w:firstLine="420" w:firstLineChars="150"/>
        <w:rPr>
          <w:rFonts w:ascii="仿宋" w:hAnsi="仿宋" w:eastAsia="仿宋"/>
          <w:color w:val="000000"/>
          <w:kern w:val="2"/>
          <w:sz w:val="28"/>
          <w:szCs w:val="28"/>
        </w:rPr>
      </w:pPr>
      <w:r>
        <w:rPr>
          <w:rFonts w:hint="eastAsia" w:ascii="仿宋" w:hAnsi="仿宋" w:eastAsia="仿宋"/>
          <w:color w:val="000000"/>
          <w:kern w:val="2"/>
          <w:sz w:val="28"/>
          <w:szCs w:val="28"/>
        </w:rPr>
        <w:t>经查，你（单位）于   年  月  日   时至  时，从事了</w:t>
      </w:r>
      <w:r>
        <w:rPr>
          <w:rFonts w:ascii="仿宋" w:hAnsi="仿宋" w:eastAsia="仿宋"/>
          <w:color w:val="000000"/>
          <w:kern w:val="2"/>
          <w:sz w:val="28"/>
          <w:szCs w:val="28"/>
        </w:rPr>
        <w:t>违法</w:t>
      </w:r>
      <w:r>
        <w:rPr>
          <w:rFonts w:hint="eastAsia" w:ascii="仿宋" w:hAnsi="仿宋" w:eastAsia="仿宋"/>
          <w:color w:val="000000"/>
          <w:kern w:val="2"/>
          <w:sz w:val="28"/>
          <w:szCs w:val="28"/>
        </w:rPr>
        <w:t>行为（见深圳市食品安全违法行为记分表）</w:t>
      </w:r>
      <w:r>
        <w:rPr>
          <w:rFonts w:ascii="仿宋" w:hAnsi="仿宋" w:eastAsia="仿宋"/>
          <w:color w:val="000000"/>
          <w:kern w:val="2"/>
          <w:sz w:val="28"/>
          <w:szCs w:val="28"/>
        </w:rPr>
        <w:t>。根据《深圳市食品安全违法行为记分管理办法》的规定，本机关对你（单位）的上述违法行为记</w:t>
      </w:r>
      <w:r>
        <w:rPr>
          <w:rFonts w:ascii="仿宋" w:hAnsi="仿宋" w:eastAsia="仿宋"/>
          <w:color w:val="000000"/>
          <w:kern w:val="2"/>
          <w:sz w:val="28"/>
          <w:szCs w:val="28"/>
          <w:u w:val="single"/>
        </w:rPr>
        <w:t xml:space="preserve">     </w:t>
      </w:r>
      <w:r>
        <w:rPr>
          <w:rFonts w:ascii="仿宋" w:hAnsi="仿宋" w:eastAsia="仿宋"/>
          <w:color w:val="000000"/>
          <w:kern w:val="2"/>
          <w:sz w:val="28"/>
          <w:szCs w:val="28"/>
        </w:rPr>
        <w:t xml:space="preserve"> 分</w:t>
      </w:r>
      <w:r>
        <w:rPr>
          <w:rFonts w:hint="eastAsia" w:ascii="仿宋" w:hAnsi="仿宋" w:eastAsia="仿宋"/>
          <w:color w:val="000000"/>
          <w:kern w:val="2"/>
          <w:sz w:val="28"/>
          <w:szCs w:val="28"/>
        </w:rPr>
        <w:t>。如果你单位在年度记分周期内被累计记下20分的违法行为，本局将会对你的生产经营场所依法查封，查封时间预计在</w:t>
      </w:r>
      <w:r>
        <w:rPr>
          <w:rFonts w:hint="eastAsia" w:ascii="仿宋" w:hAnsi="仿宋" w:eastAsia="仿宋"/>
          <w:color w:val="000000"/>
          <w:kern w:val="2"/>
          <w:sz w:val="28"/>
          <w:szCs w:val="28"/>
          <w:u w:val="single"/>
        </w:rPr>
        <w:t xml:space="preserve">   </w:t>
      </w:r>
      <w:r>
        <w:rPr>
          <w:rFonts w:hint="eastAsia" w:ascii="仿宋" w:hAnsi="仿宋" w:eastAsia="仿宋"/>
          <w:color w:val="000000"/>
          <w:kern w:val="2"/>
          <w:sz w:val="28"/>
          <w:szCs w:val="28"/>
        </w:rPr>
        <w:t>日内。</w:t>
      </w:r>
    </w:p>
    <w:p>
      <w:pPr>
        <w:spacing w:line="440" w:lineRule="exact"/>
        <w:ind w:right="-212" w:rightChars="-101" w:firstLine="601"/>
        <w:jc w:val="left"/>
        <w:rPr>
          <w:rFonts w:hint="eastAsia" w:ascii="仿宋" w:hAnsi="仿宋" w:eastAsia="仿宋"/>
          <w:color w:val="000000"/>
          <w:sz w:val="28"/>
          <w:szCs w:val="28"/>
        </w:rPr>
      </w:pPr>
      <w:r>
        <w:rPr>
          <w:rFonts w:ascii="仿宋" w:hAnsi="仿宋" w:eastAsia="仿宋"/>
          <w:color w:val="000000"/>
          <w:sz w:val="28"/>
          <w:szCs w:val="28"/>
        </w:rPr>
        <w:t>如你（单位）对本次记分有异议的，可自收到本告知单之日起</w:t>
      </w:r>
      <w:r>
        <w:rPr>
          <w:rFonts w:hint="eastAsia" w:ascii="仿宋" w:hAnsi="仿宋" w:eastAsia="仿宋"/>
          <w:color w:val="000000"/>
          <w:sz w:val="28"/>
          <w:szCs w:val="28"/>
        </w:rPr>
        <w:t>24小时</w:t>
      </w:r>
      <w:r>
        <w:rPr>
          <w:rFonts w:ascii="仿宋" w:hAnsi="仿宋" w:eastAsia="仿宋"/>
          <w:color w:val="000000"/>
          <w:sz w:val="28"/>
          <w:szCs w:val="28"/>
        </w:rPr>
        <w:t>内向本局申请复核。</w:t>
      </w:r>
      <w:r>
        <w:rPr>
          <w:rFonts w:hint="eastAsia" w:ascii="仿宋" w:hAnsi="仿宋" w:eastAsia="仿宋"/>
          <w:color w:val="000000"/>
          <w:sz w:val="28"/>
          <w:szCs w:val="28"/>
        </w:rPr>
        <w:t>逾期未提出的，视为放弃此权利。</w:t>
      </w:r>
    </w:p>
    <w:p>
      <w:pPr>
        <w:spacing w:line="440" w:lineRule="exact"/>
        <w:ind w:right="-212" w:rightChars="-101" w:firstLine="601"/>
        <w:jc w:val="left"/>
        <w:rPr>
          <w:rFonts w:hint="eastAsia" w:ascii="仿宋" w:hAnsi="仿宋" w:eastAsia="仿宋"/>
          <w:color w:val="000000"/>
          <w:sz w:val="28"/>
          <w:szCs w:val="28"/>
        </w:rPr>
      </w:pPr>
      <w:r>
        <w:rPr>
          <w:rFonts w:hint="eastAsia" w:ascii="仿宋" w:hAnsi="仿宋" w:eastAsia="仿宋"/>
          <w:color w:val="000000"/>
          <w:sz w:val="28"/>
          <w:szCs w:val="28"/>
        </w:rPr>
        <w:t>如需要查询你单位的累计记分情况，可登录</w:t>
      </w:r>
      <w:r>
        <w:rPr>
          <w:rFonts w:ascii="仿宋" w:hAnsi="仿宋" w:eastAsia="仿宋"/>
          <w:color w:val="000000"/>
          <w:sz w:val="28"/>
          <w:szCs w:val="28"/>
        </w:rPr>
        <w:t>××××</w:t>
      </w:r>
      <w:r>
        <w:rPr>
          <w:rFonts w:hint="eastAsia" w:ascii="仿宋" w:hAnsi="仿宋" w:eastAsia="仿宋"/>
          <w:color w:val="000000"/>
          <w:sz w:val="28"/>
          <w:szCs w:val="28"/>
        </w:rPr>
        <w:t xml:space="preserve">查询。 </w:t>
      </w:r>
    </w:p>
    <w:p>
      <w:pPr>
        <w:spacing w:line="440" w:lineRule="exact"/>
        <w:ind w:right="-212" w:rightChars="-101"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 xml:space="preserve">联系人：              联系电话：              </w:t>
      </w:r>
    </w:p>
    <w:p>
      <w:pPr>
        <w:pStyle w:val="23"/>
        <w:widowControl/>
        <w:snapToGrid w:val="0"/>
        <w:spacing w:line="360" w:lineRule="auto"/>
        <w:ind w:firstLine="0"/>
        <w:rPr>
          <w:rFonts w:hint="eastAsia" w:ascii="仿宋" w:hAnsi="仿宋" w:eastAsia="仿宋"/>
          <w:color w:val="000000"/>
          <w:kern w:val="2"/>
          <w:sz w:val="28"/>
          <w:szCs w:val="28"/>
        </w:rPr>
      </w:pPr>
    </w:p>
    <w:p>
      <w:pPr>
        <w:pStyle w:val="23"/>
        <w:widowControl/>
        <w:snapToGrid w:val="0"/>
        <w:spacing w:line="360" w:lineRule="auto"/>
        <w:ind w:firstLine="0"/>
        <w:rPr>
          <w:rFonts w:hint="eastAsia" w:ascii="仿宋" w:hAnsi="仿宋" w:eastAsia="仿宋"/>
          <w:color w:val="000000"/>
          <w:kern w:val="2"/>
          <w:sz w:val="28"/>
          <w:szCs w:val="28"/>
        </w:rPr>
      </w:pPr>
    </w:p>
    <w:p>
      <w:pPr>
        <w:pStyle w:val="23"/>
        <w:widowControl/>
        <w:snapToGrid w:val="0"/>
        <w:spacing w:line="360" w:lineRule="auto"/>
        <w:jc w:val="center"/>
        <w:rPr>
          <w:rFonts w:ascii="仿宋" w:hAnsi="仿宋" w:eastAsia="仿宋"/>
          <w:color w:val="000000"/>
          <w:kern w:val="2"/>
          <w:sz w:val="28"/>
          <w:szCs w:val="28"/>
        </w:rPr>
      </w:pPr>
      <w:r>
        <w:rPr>
          <w:rFonts w:hint="eastAsia" w:ascii="仿宋_GB2312" w:hAnsi="仿宋_GB2312" w:eastAsia="仿宋_GB2312" w:cs="仿宋_GB2312"/>
          <w:color w:val="000000"/>
          <w:sz w:val="32"/>
          <w:szCs w:val="32"/>
        </w:rPr>
        <w:t xml:space="preserve">          </w:t>
      </w:r>
      <w:r>
        <w:rPr>
          <w:rFonts w:ascii="仿宋" w:hAnsi="仿宋" w:eastAsia="仿宋"/>
          <w:color w:val="000000"/>
          <w:kern w:val="2"/>
          <w:sz w:val="28"/>
          <w:szCs w:val="28"/>
        </w:rPr>
        <w:t xml:space="preserve">深圳市食品药品监督管理局××局 </w:t>
      </w:r>
      <w:r>
        <w:rPr>
          <w:rFonts w:hint="eastAsia" w:ascii="仿宋" w:hAnsi="仿宋" w:eastAsia="仿宋"/>
          <w:color w:val="000000"/>
          <w:kern w:val="2"/>
          <w:sz w:val="28"/>
          <w:szCs w:val="28"/>
        </w:rPr>
        <w:t>（</w:t>
      </w:r>
      <w:r>
        <w:rPr>
          <w:rFonts w:ascii="仿宋" w:hAnsi="仿宋" w:eastAsia="仿宋"/>
          <w:color w:val="000000"/>
          <w:kern w:val="2"/>
          <w:sz w:val="28"/>
          <w:szCs w:val="28"/>
        </w:rPr>
        <w:t>盖 章</w:t>
      </w:r>
      <w:r>
        <w:rPr>
          <w:rFonts w:hint="eastAsia" w:ascii="仿宋" w:hAnsi="仿宋" w:eastAsia="仿宋"/>
          <w:color w:val="000000"/>
          <w:kern w:val="2"/>
          <w:sz w:val="28"/>
          <w:szCs w:val="28"/>
        </w:rPr>
        <w:t>）</w:t>
      </w:r>
    </w:p>
    <w:p>
      <w:pPr>
        <w:pStyle w:val="23"/>
        <w:widowControl/>
        <w:snapToGrid w:val="0"/>
        <w:spacing w:line="360" w:lineRule="auto"/>
        <w:ind w:right="280"/>
        <w:jc w:val="right"/>
        <w:rPr>
          <w:rFonts w:ascii="仿宋" w:hAnsi="仿宋" w:eastAsia="仿宋"/>
          <w:color w:val="000000"/>
          <w:kern w:val="2"/>
          <w:sz w:val="28"/>
          <w:szCs w:val="28"/>
        </w:rPr>
      </w:pPr>
      <w:r>
        <w:rPr>
          <w:rFonts w:ascii="仿宋" w:hAnsi="仿宋" w:eastAsia="仿宋"/>
          <w:color w:val="000000"/>
          <w:kern w:val="2"/>
          <w:sz w:val="28"/>
          <w:szCs w:val="28"/>
        </w:rPr>
        <w:t>年    月    日</w:t>
      </w:r>
    </w:p>
    <w:p>
      <w:pPr>
        <w:jc w:val="center"/>
        <w:rPr>
          <w:rFonts w:hint="eastAsia" w:ascii="仿宋" w:hAnsi="仿宋" w:eastAsia="仿宋"/>
          <w:b/>
          <w:color w:val="000000"/>
          <w:sz w:val="28"/>
          <w:szCs w:val="28"/>
        </w:rPr>
      </w:pPr>
      <w:r>
        <w:rPr>
          <w:rFonts w:hint="eastAsia" w:ascii="仿宋" w:hAnsi="仿宋" w:eastAsia="仿宋"/>
          <w:b/>
          <w:color w:val="000000"/>
          <w:sz w:val="28"/>
          <w:szCs w:val="28"/>
        </w:rPr>
        <w:t>送达回证</w:t>
      </w:r>
    </w:p>
    <w:tbl>
      <w:tblPr>
        <w:tblStyle w:val="7"/>
        <w:tblpPr w:leftFromText="180" w:rightFromText="180" w:vertAnchor="text" w:horzAnchor="page" w:tblpX="1152" w:tblpY="162"/>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720"/>
        <w:gridCol w:w="2560"/>
        <w:gridCol w:w="1460"/>
        <w:gridCol w:w="1160"/>
        <w:gridCol w:w="28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14" w:hRule="atLeast"/>
        </w:trPr>
        <w:tc>
          <w:tcPr>
            <w:tcW w:w="1720" w:type="dxa"/>
            <w:vAlign w:val="center"/>
          </w:tcPr>
          <w:p>
            <w:pPr>
              <w:jc w:val="center"/>
              <w:rPr>
                <w:rFonts w:hint="eastAsia" w:ascii="仿宋" w:hAnsi="仿宋" w:eastAsia="仿宋"/>
                <w:color w:val="000000"/>
                <w:sz w:val="24"/>
              </w:rPr>
            </w:pPr>
            <w:r>
              <w:rPr>
                <w:rFonts w:hint="eastAsia" w:ascii="仿宋" w:hAnsi="仿宋" w:eastAsia="仿宋"/>
                <w:color w:val="000000"/>
                <w:sz w:val="24"/>
              </w:rPr>
              <w:t>送达地点</w:t>
            </w:r>
          </w:p>
        </w:tc>
        <w:tc>
          <w:tcPr>
            <w:tcW w:w="4020" w:type="dxa"/>
            <w:gridSpan w:val="2"/>
            <w:vAlign w:val="center"/>
          </w:tcPr>
          <w:p>
            <w:pPr>
              <w:rPr>
                <w:rFonts w:hint="eastAsia" w:ascii="仿宋" w:hAnsi="仿宋" w:eastAsia="仿宋"/>
                <w:color w:val="000000"/>
                <w:sz w:val="24"/>
              </w:rPr>
            </w:pPr>
          </w:p>
        </w:tc>
        <w:tc>
          <w:tcPr>
            <w:tcW w:w="1160" w:type="dxa"/>
            <w:vAlign w:val="center"/>
          </w:tcPr>
          <w:p>
            <w:pPr>
              <w:jc w:val="center"/>
              <w:rPr>
                <w:rFonts w:hint="eastAsia" w:ascii="仿宋" w:hAnsi="仿宋" w:eastAsia="仿宋"/>
                <w:color w:val="000000"/>
                <w:sz w:val="24"/>
              </w:rPr>
            </w:pPr>
            <w:r>
              <w:rPr>
                <w:rFonts w:hint="eastAsia" w:ascii="仿宋" w:hAnsi="仿宋" w:eastAsia="仿宋"/>
                <w:color w:val="000000"/>
                <w:sz w:val="24"/>
              </w:rPr>
              <w:t>送达方式</w:t>
            </w:r>
          </w:p>
        </w:tc>
        <w:tc>
          <w:tcPr>
            <w:tcW w:w="2840" w:type="dxa"/>
          </w:tcPr>
          <w:p>
            <w:pPr>
              <w:pStyle w:val="23"/>
              <w:widowControl/>
              <w:snapToGrid w:val="0"/>
              <w:ind w:firstLine="0"/>
              <w:rPr>
                <w:rFonts w:hint="eastAsia" w:ascii="仿宋" w:hAnsi="仿宋" w:eastAsia="仿宋" w:cs="仿宋_GB2312"/>
                <w:sz w:val="24"/>
              </w:rPr>
            </w:pPr>
            <w:r>
              <w:rPr>
                <w:rFonts w:hint="eastAsia" w:ascii="仿宋" w:hAnsi="仿宋" w:eastAsia="仿宋" w:cs="仿宋_GB2312"/>
                <w:b/>
                <w:sz w:val="24"/>
              </w:rPr>
              <w:t>□</w:t>
            </w:r>
            <w:r>
              <w:rPr>
                <w:rFonts w:hint="eastAsia" w:ascii="仿宋" w:hAnsi="仿宋" w:eastAsia="仿宋" w:cs="仿宋_GB2312"/>
                <w:sz w:val="24"/>
              </w:rPr>
              <w:t xml:space="preserve">直接送达 </w:t>
            </w:r>
          </w:p>
          <w:p>
            <w:pPr>
              <w:pStyle w:val="23"/>
              <w:widowControl/>
              <w:snapToGrid w:val="0"/>
              <w:ind w:firstLine="0"/>
              <w:rPr>
                <w:rFonts w:hint="eastAsia" w:ascii="仿宋" w:hAnsi="仿宋" w:eastAsia="仿宋" w:cs="仿宋_GB2312"/>
                <w:sz w:val="24"/>
              </w:rPr>
            </w:pPr>
            <w:r>
              <w:rPr>
                <w:rFonts w:hint="eastAsia" w:ascii="仿宋" w:hAnsi="仿宋" w:eastAsia="仿宋" w:cs="仿宋_GB2312"/>
                <w:b/>
                <w:sz w:val="24"/>
              </w:rPr>
              <w:t>□</w:t>
            </w:r>
            <w:r>
              <w:rPr>
                <w:rFonts w:hint="eastAsia" w:ascii="仿宋" w:hAnsi="仿宋" w:eastAsia="仿宋" w:cs="仿宋_GB2312"/>
                <w:sz w:val="24"/>
              </w:rPr>
              <w:t>留置送达</w:t>
            </w:r>
          </w:p>
          <w:p>
            <w:pPr>
              <w:pStyle w:val="23"/>
              <w:widowControl/>
              <w:snapToGrid w:val="0"/>
              <w:ind w:firstLine="0"/>
              <w:rPr>
                <w:rFonts w:hint="eastAsia" w:ascii="仿宋" w:hAnsi="仿宋" w:eastAsia="仿宋" w:cs="仿宋_GB2312"/>
                <w:sz w:val="24"/>
              </w:rPr>
            </w:pPr>
            <w:r>
              <w:rPr>
                <w:rFonts w:hint="eastAsia" w:ascii="仿宋" w:hAnsi="仿宋" w:eastAsia="仿宋" w:cs="仿宋_GB2312"/>
                <w:b/>
                <w:sz w:val="24"/>
              </w:rPr>
              <w:t>□</w:t>
            </w:r>
            <w:r>
              <w:rPr>
                <w:rFonts w:hint="eastAsia" w:ascii="仿宋" w:hAnsi="仿宋" w:eastAsia="仿宋" w:cs="仿宋_GB2312"/>
                <w:sz w:val="24"/>
              </w:rPr>
              <w:t>手机短信+网络专达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1" w:hRule="atLeast"/>
        </w:trPr>
        <w:tc>
          <w:tcPr>
            <w:tcW w:w="1720" w:type="dxa"/>
            <w:vAlign w:val="center"/>
          </w:tcPr>
          <w:p>
            <w:pPr>
              <w:ind w:firstLine="120" w:firstLineChars="50"/>
              <w:rPr>
                <w:rFonts w:hint="eastAsia" w:ascii="仿宋" w:hAnsi="仿宋" w:eastAsia="仿宋"/>
                <w:color w:val="000000"/>
                <w:sz w:val="24"/>
              </w:rPr>
            </w:pPr>
            <w:r>
              <w:rPr>
                <w:rFonts w:hint="eastAsia" w:ascii="仿宋" w:hAnsi="仿宋" w:eastAsia="仿宋"/>
                <w:color w:val="000000"/>
                <w:sz w:val="24"/>
              </w:rPr>
              <w:t>收件人</w:t>
            </w:r>
            <w:r>
              <w:rPr>
                <w:rFonts w:hint="eastAsia" w:ascii="仿宋" w:hAnsi="仿宋" w:eastAsia="仿宋" w:cs="仿宋_GB2312"/>
                <w:color w:val="000000"/>
                <w:sz w:val="24"/>
              </w:rPr>
              <w:t>签名</w:t>
            </w:r>
          </w:p>
        </w:tc>
        <w:tc>
          <w:tcPr>
            <w:tcW w:w="2560" w:type="dxa"/>
            <w:vAlign w:val="center"/>
          </w:tcPr>
          <w:p>
            <w:pPr>
              <w:jc w:val="center"/>
              <w:rPr>
                <w:rFonts w:hint="eastAsia" w:ascii="仿宋" w:hAnsi="仿宋" w:eastAsia="仿宋"/>
                <w:color w:val="000000"/>
                <w:sz w:val="24"/>
              </w:rPr>
            </w:pPr>
          </w:p>
          <w:p>
            <w:pPr>
              <w:ind w:firstLine="480" w:firstLineChars="200"/>
              <w:rPr>
                <w:rFonts w:hint="eastAsia" w:ascii="仿宋" w:hAnsi="仿宋" w:eastAsia="仿宋"/>
                <w:color w:val="000000"/>
                <w:sz w:val="24"/>
              </w:rPr>
            </w:pPr>
            <w:r>
              <w:rPr>
                <w:rFonts w:hint="eastAsia" w:ascii="仿宋" w:hAnsi="仿宋" w:eastAsia="仿宋"/>
                <w:color w:val="000000"/>
                <w:sz w:val="24"/>
              </w:rPr>
              <w:t xml:space="preserve"> </w:t>
            </w:r>
          </w:p>
          <w:p>
            <w:pPr>
              <w:ind w:firstLine="240" w:firstLineChars="100"/>
              <w:rPr>
                <w:rFonts w:hint="eastAsia" w:ascii="仿宋" w:hAnsi="仿宋" w:eastAsia="仿宋"/>
                <w:color w:val="000000"/>
                <w:sz w:val="24"/>
              </w:rPr>
            </w:pPr>
            <w:r>
              <w:rPr>
                <w:rFonts w:hint="eastAsia" w:ascii="仿宋" w:hAnsi="仿宋" w:eastAsia="仿宋"/>
                <w:color w:val="000000"/>
                <w:sz w:val="24"/>
              </w:rPr>
              <w:t>年  月  日</w:t>
            </w:r>
            <w:r>
              <w:rPr>
                <w:rFonts w:hint="eastAsia" w:ascii="仿宋" w:hAnsi="仿宋" w:eastAsia="仿宋" w:cs="仿宋_GB2312"/>
                <w:sz w:val="24"/>
              </w:rPr>
              <w:t xml:space="preserve">  时  </w:t>
            </w:r>
          </w:p>
        </w:tc>
        <w:tc>
          <w:tcPr>
            <w:tcW w:w="1460" w:type="dxa"/>
            <w:vAlign w:val="center"/>
          </w:tcPr>
          <w:p>
            <w:pPr>
              <w:ind w:right="45"/>
              <w:rPr>
                <w:rFonts w:hint="eastAsia" w:ascii="仿宋" w:hAnsi="仿宋" w:eastAsia="仿宋"/>
                <w:color w:val="000000"/>
                <w:sz w:val="24"/>
              </w:rPr>
            </w:pPr>
          </w:p>
          <w:p>
            <w:pPr>
              <w:ind w:right="45"/>
              <w:rPr>
                <w:rFonts w:hint="eastAsia" w:ascii="仿宋" w:hAnsi="仿宋" w:eastAsia="仿宋" w:cs="仿宋_GB2312"/>
                <w:color w:val="000000"/>
                <w:sz w:val="24"/>
              </w:rPr>
            </w:pPr>
            <w:r>
              <w:rPr>
                <w:rFonts w:hint="eastAsia" w:ascii="仿宋" w:hAnsi="仿宋" w:eastAsia="仿宋"/>
                <w:color w:val="000000"/>
                <w:sz w:val="24"/>
              </w:rPr>
              <w:t>见证人</w:t>
            </w:r>
            <w:r>
              <w:rPr>
                <w:rFonts w:hint="eastAsia" w:ascii="仿宋" w:hAnsi="仿宋" w:eastAsia="仿宋" w:cs="仿宋_GB2312"/>
                <w:color w:val="000000"/>
                <w:sz w:val="24"/>
              </w:rPr>
              <w:t xml:space="preserve">签名                     </w:t>
            </w:r>
          </w:p>
          <w:p>
            <w:pPr>
              <w:ind w:right="480" w:firstLine="3600" w:firstLineChars="1500"/>
              <w:rPr>
                <w:rFonts w:hint="eastAsia" w:ascii="仿宋" w:hAnsi="仿宋" w:eastAsia="仿宋"/>
                <w:color w:val="000000"/>
                <w:sz w:val="24"/>
              </w:rPr>
            </w:pPr>
            <w:r>
              <w:rPr>
                <w:rFonts w:hint="eastAsia" w:ascii="仿宋" w:hAnsi="仿宋" w:eastAsia="仿宋"/>
                <w:color w:val="000000"/>
                <w:sz w:val="24"/>
              </w:rPr>
              <w:t>年</w:t>
            </w:r>
          </w:p>
        </w:tc>
        <w:tc>
          <w:tcPr>
            <w:tcW w:w="4000" w:type="dxa"/>
            <w:gridSpan w:val="2"/>
            <w:vAlign w:val="center"/>
          </w:tcPr>
          <w:p>
            <w:pPr>
              <w:ind w:right="480"/>
              <w:rPr>
                <w:rFonts w:hint="eastAsia" w:ascii="仿宋" w:hAnsi="仿宋" w:eastAsia="仿宋"/>
                <w:color w:val="000000"/>
                <w:sz w:val="24"/>
              </w:rPr>
            </w:pPr>
          </w:p>
          <w:p>
            <w:pPr>
              <w:ind w:right="480"/>
              <w:rPr>
                <w:rFonts w:hint="eastAsia" w:ascii="仿宋" w:hAnsi="仿宋" w:eastAsia="仿宋"/>
                <w:color w:val="000000"/>
                <w:sz w:val="24"/>
              </w:rPr>
            </w:pPr>
          </w:p>
          <w:p>
            <w:pPr>
              <w:ind w:right="480" w:firstLine="960" w:firstLineChars="400"/>
              <w:rPr>
                <w:rFonts w:hint="eastAsia" w:ascii="仿宋" w:hAnsi="仿宋" w:eastAsia="仿宋"/>
                <w:color w:val="000000"/>
                <w:sz w:val="24"/>
              </w:rPr>
            </w:pPr>
            <w:r>
              <w:rPr>
                <w:rFonts w:hint="eastAsia" w:ascii="仿宋" w:hAnsi="仿宋" w:eastAsia="仿宋"/>
                <w:color w:val="000000"/>
                <w:sz w:val="24"/>
              </w:rPr>
              <w:t xml:space="preserve">年  月 日  </w:t>
            </w:r>
            <w:r>
              <w:rPr>
                <w:rFonts w:hint="eastAsia" w:ascii="仿宋" w:hAnsi="仿宋" w:eastAsia="仿宋" w:cs="仿宋_GB2312"/>
                <w:sz w:val="24"/>
              </w:rPr>
              <w:t>时  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1720" w:type="dxa"/>
            <w:vAlign w:val="center"/>
          </w:tcPr>
          <w:p>
            <w:pPr>
              <w:ind w:firstLine="360" w:firstLineChars="150"/>
              <w:rPr>
                <w:rFonts w:hint="eastAsia" w:ascii="仿宋" w:hAnsi="仿宋" w:eastAsia="仿宋"/>
                <w:color w:val="000000"/>
                <w:sz w:val="24"/>
              </w:rPr>
            </w:pPr>
            <w:r>
              <w:rPr>
                <w:rFonts w:hint="eastAsia" w:ascii="仿宋" w:hAnsi="仿宋" w:eastAsia="仿宋"/>
                <w:color w:val="000000"/>
                <w:sz w:val="24"/>
              </w:rPr>
              <w:t>送达人</w:t>
            </w:r>
          </w:p>
        </w:tc>
        <w:tc>
          <w:tcPr>
            <w:tcW w:w="8020" w:type="dxa"/>
            <w:gridSpan w:val="4"/>
          </w:tcPr>
          <w:p>
            <w:pPr>
              <w:rPr>
                <w:rFonts w:hint="eastAsia" w:ascii="仿宋" w:hAnsi="仿宋" w:eastAsia="仿宋"/>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720" w:type="dxa"/>
            <w:vAlign w:val="center"/>
          </w:tcPr>
          <w:p>
            <w:pPr>
              <w:ind w:firstLine="480" w:firstLineChars="200"/>
              <w:rPr>
                <w:rFonts w:hint="eastAsia" w:ascii="仿宋" w:hAnsi="仿宋" w:eastAsia="仿宋"/>
                <w:color w:val="000000"/>
                <w:sz w:val="24"/>
              </w:rPr>
            </w:pPr>
            <w:r>
              <w:rPr>
                <w:rFonts w:hint="eastAsia" w:ascii="仿宋" w:hAnsi="仿宋" w:eastAsia="仿宋"/>
                <w:color w:val="000000"/>
                <w:sz w:val="24"/>
              </w:rPr>
              <w:t>备  注</w:t>
            </w:r>
          </w:p>
        </w:tc>
        <w:tc>
          <w:tcPr>
            <w:tcW w:w="8020" w:type="dxa"/>
            <w:gridSpan w:val="4"/>
          </w:tcPr>
          <w:p>
            <w:pPr>
              <w:rPr>
                <w:rFonts w:hint="eastAsia" w:ascii="仿宋" w:hAnsi="仿宋" w:eastAsia="仿宋"/>
                <w:color w:val="000000"/>
                <w:sz w:val="24"/>
              </w:rPr>
            </w:pPr>
          </w:p>
        </w:tc>
      </w:tr>
    </w:tbl>
    <w:p>
      <w:pPr>
        <w:pStyle w:val="4"/>
      </w:pPr>
      <w:r>
        <w:rPr>
          <w:rFonts w:hint="eastAsia" w:ascii="仿宋" w:hAnsi="仿宋" w:eastAsia="仿宋"/>
          <w:color w:val="000000"/>
          <w:sz w:val="21"/>
          <w:szCs w:val="21"/>
        </w:rPr>
        <w:t>（备注：本文书一式三份，一份交被处罚人，一份归监管档案，一份承办机构留存）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Batang">
    <w:altName w:val="方正书宋_GBK"/>
    <w:panose1 w:val="02030600000101010101"/>
    <w:charset w:val="81"/>
    <w:family w:val="roman"/>
    <w:pitch w:val="default"/>
    <w:sig w:usb0="00000000" w:usb1="00000000" w:usb2="00000030" w:usb3="00000000" w:csb0="0008009F" w:csb1="00000000"/>
  </w:font>
  <w:font w:name="仿宋">
    <w:altName w:val="方正仿宋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华文仿宋">
    <w:panose1 w:val="02010600040101010101"/>
    <w:charset w:val="86"/>
    <w:family w:val="auto"/>
    <w:pitch w:val="default"/>
    <w:sig w:usb0="00000287" w:usb1="080F0000" w:usb2="00000000" w:usb3="00000000" w:csb0="0004009F" w:csb1="DFD70000"/>
  </w:font>
  <w:font w:name="ˎ̥">
    <w:altName w:val="汉仪新人文宋简"/>
    <w:panose1 w:val="00000000000000000000"/>
    <w:charset w:val="00"/>
    <w:family w:val="roman"/>
    <w:pitch w:val="default"/>
    <w:sig w:usb0="00000000" w:usb1="00000000" w:usb2="00000000"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eastAsia="zh-CN"/>
      </w:rPr>
      <w:t>26</w:t>
    </w:r>
    <w:r>
      <w:rPr>
        <w:rFonts w:hint="eastAsia" w:ascii="仿宋_GB2312" w:eastAsia="仿宋_GB2312"/>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eastAsia="zh-CN"/>
      </w:rPr>
      <w:t>-</w:t>
    </w:r>
    <w:r>
      <w:rPr>
        <w:rFonts w:ascii="仿宋_GB2312" w:eastAsia="仿宋_GB2312"/>
        <w:sz w:val="28"/>
        <w:szCs w:val="28"/>
        <w:lang w:val="en-US" w:eastAsia="zh-CN"/>
      </w:rPr>
      <w:t xml:space="preserve"> 28 -</w:t>
    </w:r>
    <w:r>
      <w:rPr>
        <w:rFonts w:hint="eastAsia" w:ascii="仿宋_GB2312" w:eastAsia="仿宋_GB2312"/>
        <w:sz w:val="28"/>
        <w:szCs w:val="2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19A18"/>
    <w:multiLevelType w:val="singleLevel"/>
    <w:tmpl w:val="93719A18"/>
    <w:lvl w:ilvl="0" w:tentative="0">
      <w:start w:val="3"/>
      <w:numFmt w:val="chineseCounting"/>
      <w:suff w:val="nothing"/>
      <w:lvlText w:val="（%1）"/>
      <w:lvlJc w:val="left"/>
      <w:rPr>
        <w:rFonts w:hint="eastAsia"/>
      </w:rPr>
    </w:lvl>
  </w:abstractNum>
  <w:abstractNum w:abstractNumId="1">
    <w:nsid w:val="B55C9C9A"/>
    <w:multiLevelType w:val="singleLevel"/>
    <w:tmpl w:val="B55C9C9A"/>
    <w:lvl w:ilvl="0" w:tentative="0">
      <w:start w:val="1"/>
      <w:numFmt w:val="chineseCounting"/>
      <w:suff w:val="nothing"/>
      <w:lvlText w:val="（%1）"/>
      <w:lvlJc w:val="left"/>
      <w:rPr>
        <w:rFonts w:hint="eastAsia"/>
      </w:rPr>
    </w:lvl>
  </w:abstractNum>
  <w:abstractNum w:abstractNumId="2">
    <w:nsid w:val="D0FCC3EA"/>
    <w:multiLevelType w:val="singleLevel"/>
    <w:tmpl w:val="D0FCC3EA"/>
    <w:lvl w:ilvl="0" w:tentative="0">
      <w:start w:val="5"/>
      <w:numFmt w:val="decimal"/>
      <w:lvlText w:val="%1."/>
      <w:lvlJc w:val="left"/>
      <w:pPr>
        <w:tabs>
          <w:tab w:val="left" w:pos="312"/>
        </w:tabs>
      </w:pPr>
    </w:lvl>
  </w:abstractNum>
  <w:abstractNum w:abstractNumId="3">
    <w:nsid w:val="E60D36A9"/>
    <w:multiLevelType w:val="singleLevel"/>
    <w:tmpl w:val="E60D36A9"/>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2C6E"/>
    <w:rsid w:val="005E6B8B"/>
    <w:rsid w:val="00632C6E"/>
    <w:rsid w:val="006F6D78"/>
    <w:rsid w:val="37FF5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1"/>
    <w:qFormat/>
    <w:uiPriority w:val="0"/>
    <w:pPr>
      <w:ind w:left="100" w:leftChars="2500"/>
    </w:pPr>
    <w:rPr>
      <w:rFonts w:asciiTheme="minorHAnsi" w:hAnsiTheme="minorHAnsi" w:eastAsiaTheme="minorEastAsia" w:cstheme="minorBidi"/>
    </w:rPr>
  </w:style>
  <w:style w:type="paragraph" w:styleId="3">
    <w:name w:val="Balloon Text"/>
    <w:basedOn w:val="1"/>
    <w:link w:val="22"/>
    <w:unhideWhenUsed/>
    <w:qFormat/>
    <w:uiPriority w:val="99"/>
    <w:rPr>
      <w:rFonts w:asciiTheme="minorHAnsi" w:hAnsiTheme="minorHAnsi" w:eastAsiaTheme="minorEastAsia" w:cstheme="minorBidi"/>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unhideWhenUsed/>
    <w:qFormat/>
    <w:uiPriority w:val="99"/>
    <w:pPr>
      <w:widowControl w:val="0"/>
      <w:jc w:val="both"/>
    </w:pPr>
    <w:rPr>
      <w:rFonts w:ascii="Calibri" w:hAnsi="Calibri"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character" w:styleId="11">
    <w:name w:val="page number"/>
    <w:qFormat/>
    <w:uiPriority w:val="0"/>
  </w:style>
  <w:style w:type="character" w:styleId="12">
    <w:name w:val="FollowedHyperlink"/>
    <w:unhideWhenUsed/>
    <w:qFormat/>
    <w:uiPriority w:val="99"/>
    <w:rPr>
      <w:color w:val="800080"/>
      <w:u w:val="single"/>
    </w:rPr>
  </w:style>
  <w:style w:type="character" w:styleId="13">
    <w:name w:val="Hyperlink"/>
    <w:unhideWhenUsed/>
    <w:qFormat/>
    <w:uiPriority w:val="99"/>
    <w:rPr>
      <w:color w:val="0000FF"/>
      <w:u w:val="single"/>
    </w:rPr>
  </w:style>
  <w:style w:type="character" w:customStyle="1" w:styleId="14">
    <w:name w:val="页眉 Char"/>
    <w:basedOn w:val="9"/>
    <w:link w:val="5"/>
    <w:qFormat/>
    <w:uiPriority w:val="0"/>
    <w:rPr>
      <w:sz w:val="18"/>
      <w:szCs w:val="18"/>
    </w:rPr>
  </w:style>
  <w:style w:type="character" w:customStyle="1" w:styleId="15">
    <w:name w:val="页脚 Char"/>
    <w:basedOn w:val="9"/>
    <w:link w:val="4"/>
    <w:qFormat/>
    <w:uiPriority w:val="99"/>
    <w:rPr>
      <w:sz w:val="18"/>
      <w:szCs w:val="18"/>
    </w:rPr>
  </w:style>
  <w:style w:type="character" w:customStyle="1" w:styleId="16">
    <w:name w:val="批注框文本 Char"/>
    <w:basedOn w:val="9"/>
    <w:link w:val="3"/>
    <w:qFormat/>
    <w:uiPriority w:val="99"/>
    <w:rPr>
      <w:sz w:val="18"/>
      <w:szCs w:val="18"/>
    </w:rPr>
  </w:style>
  <w:style w:type="character" w:customStyle="1" w:styleId="17">
    <w:name w:val="日期 Char"/>
    <w:basedOn w:val="9"/>
    <w:link w:val="2"/>
    <w:qFormat/>
    <w:uiPriority w:val="0"/>
    <w:rPr>
      <w:szCs w:val="24"/>
    </w:rPr>
  </w:style>
  <w:style w:type="character" w:customStyle="1" w:styleId="18">
    <w:name w:val="CharAttribute6"/>
    <w:qFormat/>
    <w:uiPriority w:val="0"/>
    <w:rPr>
      <w:rFonts w:hint="eastAsia" w:ascii="仿宋_GB2312" w:hAnsi="Calibri" w:eastAsia="Calibri" w:cs="仿宋_GB2312"/>
      <w:sz w:val="32"/>
    </w:rPr>
  </w:style>
  <w:style w:type="character" w:customStyle="1" w:styleId="19">
    <w:name w:val="15"/>
    <w:qFormat/>
    <w:uiPriority w:val="0"/>
    <w:rPr>
      <w:rFonts w:hint="default" w:ascii="Times New Roman" w:hAnsi="Times New Roman" w:cs="Times New Roman"/>
      <w:b/>
      <w:bCs/>
    </w:rPr>
  </w:style>
  <w:style w:type="character" w:customStyle="1" w:styleId="20">
    <w:name w:val="16"/>
    <w:qFormat/>
    <w:uiPriority w:val="0"/>
    <w:rPr>
      <w:rFonts w:hint="default" w:ascii="Times New Roman" w:hAnsi="Times New Roman" w:cs="Times New Roman"/>
      <w:color w:val="0000FF"/>
      <w:u w:val="single"/>
    </w:rPr>
  </w:style>
  <w:style w:type="character" w:customStyle="1" w:styleId="21">
    <w:name w:val="日期 Char1"/>
    <w:basedOn w:val="9"/>
    <w:link w:val="2"/>
    <w:semiHidden/>
    <w:qFormat/>
    <w:uiPriority w:val="99"/>
    <w:rPr>
      <w:rFonts w:ascii="Times New Roman" w:hAnsi="Times New Roman" w:eastAsia="宋体" w:cs="Times New Roman"/>
      <w:szCs w:val="24"/>
    </w:rPr>
  </w:style>
  <w:style w:type="character" w:customStyle="1" w:styleId="22">
    <w:name w:val="批注框文本 Char1"/>
    <w:basedOn w:val="9"/>
    <w:link w:val="3"/>
    <w:semiHidden/>
    <w:qFormat/>
    <w:uiPriority w:val="99"/>
    <w:rPr>
      <w:rFonts w:ascii="Times New Roman" w:hAnsi="Times New Roman" w:eastAsia="宋体" w:cs="Times New Roman"/>
      <w:sz w:val="18"/>
      <w:szCs w:val="18"/>
    </w:rPr>
  </w:style>
  <w:style w:type="paragraph" w:customStyle="1" w:styleId="23">
    <w:name w:val="ParaAttribute4"/>
    <w:basedOn w:val="1"/>
    <w:qFormat/>
    <w:uiPriority w:val="0"/>
    <w:pPr>
      <w:wordWrap w:val="0"/>
      <w:ind w:firstLine="645"/>
    </w:pPr>
    <w:rPr>
      <w:rFonts w:eastAsia="Batang"/>
      <w:kern w:val="0"/>
      <w:sz w:val="20"/>
    </w:rPr>
  </w:style>
  <w:style w:type="paragraph" w:customStyle="1" w:styleId="24">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26</Pages>
  <Words>2288</Words>
  <Characters>13043</Characters>
  <Lines>108</Lines>
  <Paragraphs>30</Paragraphs>
  <TotalTime>0</TotalTime>
  <ScaleCrop>false</ScaleCrop>
  <LinksUpToDate>false</LinksUpToDate>
  <CharactersWithSpaces>15301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2018-06-13T17:02:00Z</dcterms:created>
  <dc:creator>潘圣恩</dc:creator>
  <cp:lastModifiedBy>周文丽</cp:lastModifiedBy>
  <dcterms:modified xsi:type="dcterms:W3CDTF">2022-08-30T17:54:25Z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