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3" w:lineRule="auto"/>
        <w:rPr>
          <w:rFonts w:ascii="Arial"/>
          <w:sz w:val="21"/>
        </w:rPr>
      </w:pPr>
    </w:p>
    <w:p>
      <w:pPr>
        <w:spacing w:line="263"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40" w:line="360" w:lineRule="auto"/>
        <w:ind w:right="1950"/>
        <w:jc w:val="center"/>
        <w:textAlignment w:val="baseline"/>
        <w:rPr>
          <w:rFonts w:ascii="黑体" w:hAnsi="黑体" w:eastAsia="黑体" w:cs="黑体"/>
          <w:sz w:val="43"/>
          <w:szCs w:val="43"/>
        </w:rPr>
      </w:pPr>
      <w:r>
        <w:rPr>
          <w:rFonts w:ascii="黑体" w:hAnsi="黑体" w:eastAsia="黑体" w:cs="黑体"/>
          <w:b/>
          <w:bCs/>
          <w:spacing w:val="-10"/>
          <w:sz w:val="43"/>
          <w:szCs w:val="43"/>
        </w:rPr>
        <w:t>关于《</w:t>
      </w:r>
      <w:r>
        <w:rPr>
          <w:rFonts w:hint="eastAsia" w:ascii="黑体" w:hAnsi="黑体" w:eastAsia="黑体" w:cs="黑体"/>
          <w:b/>
          <w:bCs/>
          <w:spacing w:val="-10"/>
          <w:sz w:val="43"/>
          <w:szCs w:val="43"/>
        </w:rPr>
        <w:t>深圳</w:t>
      </w:r>
      <w:r>
        <w:rPr>
          <w:rFonts w:hint="eastAsia" w:ascii="黑体" w:hAnsi="黑体" w:eastAsia="黑体" w:cs="黑体"/>
          <w:b/>
          <w:bCs/>
          <w:spacing w:val="-10"/>
          <w:sz w:val="43"/>
          <w:szCs w:val="43"/>
          <w:lang w:val="en-US" w:eastAsia="zh-CN"/>
        </w:rPr>
        <w:t>市</w:t>
      </w:r>
      <w:r>
        <w:rPr>
          <w:rFonts w:hint="eastAsia" w:ascii="黑体" w:hAnsi="黑体" w:eastAsia="黑体" w:cs="黑体"/>
          <w:b/>
          <w:bCs/>
          <w:spacing w:val="-10"/>
          <w:sz w:val="43"/>
          <w:szCs w:val="43"/>
        </w:rPr>
        <w:t>支持现代农业高质量发展的若干措施</w:t>
      </w:r>
      <w:r>
        <w:rPr>
          <w:rFonts w:ascii="黑体" w:hAnsi="黑体" w:eastAsia="黑体" w:cs="黑体"/>
          <w:b/>
          <w:bCs/>
          <w:spacing w:val="-10"/>
          <w:sz w:val="43"/>
          <w:szCs w:val="43"/>
        </w:rPr>
        <w:t>》</w:t>
      </w:r>
      <w:r>
        <w:rPr>
          <w:rFonts w:ascii="黑体" w:hAnsi="黑体" w:eastAsia="黑体" w:cs="黑体"/>
          <w:b/>
          <w:bCs/>
          <w:spacing w:val="6"/>
          <w:sz w:val="43"/>
          <w:szCs w:val="43"/>
        </w:rPr>
        <w:t>(送审稿)的风险评估报告</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240" w:line="223" w:lineRule="auto"/>
        <w:jc w:val="center"/>
        <w:rPr>
          <w:rFonts w:ascii="黑体" w:hAnsi="黑体" w:eastAsia="黑体" w:cs="黑体"/>
          <w:b/>
          <w:bCs/>
          <w:spacing w:val="14"/>
          <w:sz w:val="32"/>
          <w:szCs w:val="32"/>
          <w:highlight w:val="none"/>
        </w:rPr>
      </w:pPr>
    </w:p>
    <w:p>
      <w:pPr>
        <w:spacing w:before="240" w:line="223" w:lineRule="auto"/>
        <w:jc w:val="center"/>
        <w:rPr>
          <w:rFonts w:hint="default" w:eastAsia="黑体"/>
          <w:lang w:val="en-US" w:eastAsia="zh-CN"/>
        </w:rPr>
        <w:sectPr>
          <w:pgSz w:w="11900" w:h="16820"/>
          <w:pgMar w:top="1429" w:right="0" w:bottom="0" w:left="1785" w:header="0" w:footer="0" w:gutter="0"/>
          <w:cols w:space="720" w:num="1"/>
        </w:sectPr>
      </w:pPr>
      <w:r>
        <w:rPr>
          <w:rFonts w:ascii="黑体" w:hAnsi="黑体" w:eastAsia="黑体" w:cs="黑体"/>
          <w:b/>
          <w:bCs/>
          <w:spacing w:val="14"/>
          <w:sz w:val="32"/>
          <w:szCs w:val="32"/>
          <w:highlight w:val="none"/>
        </w:rPr>
        <w:t>202</w:t>
      </w:r>
      <w:r>
        <w:rPr>
          <w:rFonts w:hint="eastAsia" w:ascii="黑体" w:hAnsi="黑体" w:eastAsia="黑体" w:cs="黑体"/>
          <w:b/>
          <w:bCs/>
          <w:spacing w:val="14"/>
          <w:sz w:val="32"/>
          <w:szCs w:val="32"/>
          <w:highlight w:val="none"/>
          <w:lang w:val="en-US" w:eastAsia="zh-CN"/>
        </w:rPr>
        <w:t>3</w:t>
      </w:r>
      <w:r>
        <w:rPr>
          <w:rFonts w:ascii="黑体" w:hAnsi="黑体" w:eastAsia="黑体" w:cs="黑体"/>
          <w:b/>
          <w:bCs/>
          <w:spacing w:val="14"/>
          <w:sz w:val="32"/>
          <w:szCs w:val="32"/>
          <w:highlight w:val="none"/>
        </w:rPr>
        <w:t>年</w:t>
      </w:r>
      <w:r>
        <w:rPr>
          <w:rFonts w:hint="eastAsia" w:ascii="黑体" w:hAnsi="黑体" w:eastAsia="黑体" w:cs="黑体"/>
          <w:b/>
          <w:bCs/>
          <w:spacing w:val="14"/>
          <w:sz w:val="32"/>
          <w:szCs w:val="32"/>
          <w:highlight w:val="none"/>
          <w:lang w:val="en-US" w:eastAsia="zh-CN"/>
        </w:rPr>
        <w:t>5</w:t>
      </w:r>
      <w:r>
        <w:rPr>
          <w:rFonts w:ascii="黑体" w:hAnsi="黑体" w:eastAsia="黑体" w:cs="黑体"/>
          <w:b/>
          <w:bCs/>
          <w:spacing w:val="14"/>
          <w:sz w:val="32"/>
          <w:szCs w:val="32"/>
          <w:highlight w:val="none"/>
        </w:rPr>
        <w:t>月</w:t>
      </w:r>
      <w:r>
        <w:rPr>
          <w:rFonts w:hint="eastAsia" w:ascii="黑体" w:hAnsi="黑体" w:eastAsia="黑体" w:cs="黑体"/>
          <w:b/>
          <w:bCs/>
          <w:spacing w:val="14"/>
          <w:sz w:val="32"/>
          <w:szCs w:val="32"/>
          <w:highlight w:val="none"/>
          <w:lang w:val="en-US" w:eastAsia="zh-CN"/>
        </w:rPr>
        <w:t>30日</w:t>
      </w:r>
    </w:p>
    <w:p>
      <w:pPr>
        <w:spacing w:line="257" w:lineRule="auto"/>
        <w:rPr>
          <w:rFonts w:ascii="Arial"/>
          <w:sz w:val="21"/>
        </w:rPr>
      </w:pPr>
      <w:bookmarkStart w:id="28" w:name="_GoBack"/>
      <w:bookmarkEnd w:id="28"/>
    </w:p>
    <w:sdt>
      <w:sdtPr>
        <w:rPr>
          <w:rFonts w:hint="eastAsia" w:ascii="黑体" w:hAnsi="黑体" w:eastAsia="黑体" w:cs="黑体"/>
          <w:snapToGrid w:val="0"/>
          <w:color w:val="000000"/>
          <w:kern w:val="0"/>
          <w:sz w:val="40"/>
          <w:szCs w:val="40"/>
        </w:rPr>
        <w:id w:val="147456571"/>
        <w15:color w:val="DBDBDB"/>
        <w:docPartObj>
          <w:docPartGallery w:val="Table of Contents"/>
          <w:docPartUnique/>
        </w:docPartObj>
      </w:sdtPr>
      <w:sdtEndPr>
        <w:rPr>
          <w:rFonts w:hint="eastAsia" w:ascii="Arial" w:hAnsi="Arial" w:eastAsia="Arial" w:cs="Arial"/>
          <w:snapToGrid w:val="0"/>
          <w:color w:val="000000"/>
          <w:kern w:val="0"/>
          <w:sz w:val="22"/>
          <w:szCs w:val="22"/>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0"/>
              <w:szCs w:val="40"/>
            </w:rPr>
          </w:pPr>
          <w:r>
            <w:rPr>
              <w:rFonts w:hint="eastAsia" w:ascii="黑体" w:hAnsi="黑体" w:eastAsia="黑体" w:cs="黑体"/>
              <w:sz w:val="40"/>
              <w:szCs w:val="40"/>
            </w:rPr>
            <w:t>目录</w:t>
          </w:r>
        </w:p>
        <w:p>
          <w:pPr>
            <w:pStyle w:val="6"/>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TOC \o "1-3" \h \u </w:instrText>
          </w:r>
          <w:r>
            <w:rPr>
              <w:rFonts w:hint="eastAsia" w:ascii="仿宋" w:hAnsi="仿宋" w:eastAsia="仿宋" w:cs="仿宋"/>
              <w:sz w:val="22"/>
              <w:szCs w:val="22"/>
            </w:rPr>
            <w:fldChar w:fldCharType="separate"/>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HYPERLINK \l _Toc5958 </w:instrText>
          </w:r>
          <w:r>
            <w:rPr>
              <w:rFonts w:hint="eastAsia" w:ascii="仿宋" w:hAnsi="仿宋" w:eastAsia="仿宋" w:cs="仿宋"/>
              <w:b/>
              <w:bCs/>
              <w:sz w:val="22"/>
              <w:szCs w:val="22"/>
            </w:rPr>
            <w:fldChar w:fldCharType="separate"/>
          </w:r>
          <w:r>
            <w:rPr>
              <w:rFonts w:hint="eastAsia" w:ascii="仿宋" w:hAnsi="仿宋" w:eastAsia="仿宋" w:cs="仿宋"/>
              <w:b/>
              <w:bCs/>
              <w:spacing w:val="-4"/>
              <w:sz w:val="22"/>
              <w:szCs w:val="36"/>
            </w:rPr>
            <w:t>第一部分风险评估事项概述</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_Toc5958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1</w:t>
          </w:r>
          <w:r>
            <w:rPr>
              <w:rFonts w:hint="eastAsia" w:ascii="仿宋" w:hAnsi="仿宋" w:eastAsia="仿宋" w:cs="仿宋"/>
              <w:b/>
              <w:bCs/>
              <w:sz w:val="22"/>
              <w:szCs w:val="22"/>
            </w:rPr>
            <w:fldChar w:fldCharType="end"/>
          </w:r>
          <w:r>
            <w:rPr>
              <w:rFonts w:hint="eastAsia" w:ascii="仿宋" w:hAnsi="仿宋" w:eastAsia="仿宋" w:cs="仿宋"/>
              <w:b/>
              <w:bCs/>
              <w:sz w:val="22"/>
              <w:szCs w:val="22"/>
            </w:rPr>
            <w:fldChar w:fldCharType="end"/>
          </w:r>
        </w:p>
        <w:p>
          <w:pPr>
            <w:keepNext w:val="0"/>
            <w:keepLines w:val="0"/>
            <w:pageBreakBefore w:val="0"/>
            <w:widowControl/>
            <w:tabs>
              <w:tab w:val="right" w:leader="dot" w:pos="8450"/>
            </w:tabs>
            <w:kinsoku w:val="0"/>
            <w:wordWrap/>
            <w:overflowPunct/>
            <w:topLinePunct w:val="0"/>
            <w:autoSpaceDE w:val="0"/>
            <w:autoSpaceDN w:val="0"/>
            <w:bidi w:val="0"/>
            <w:adjustRightInd w:val="0"/>
            <w:snapToGrid w:val="0"/>
            <w:spacing w:line="360" w:lineRule="auto"/>
            <w:ind w:left="420" w:leftChars="200"/>
            <w:textAlignment w:val="baseline"/>
            <w:rPr>
              <w:rFonts w:hint="eastAsia" w:ascii="仿宋" w:hAnsi="仿宋" w:eastAsia="仿宋" w:cs="仿宋"/>
              <w:sz w:val="22"/>
              <w:szCs w:val="22"/>
            </w:rPr>
          </w:pPr>
          <w:r>
            <w:rPr>
              <w:rFonts w:hint="eastAsia" w:ascii="仿宋" w:hAnsi="仿宋" w:eastAsia="仿宋" w:cs="仿宋"/>
              <w:sz w:val="22"/>
              <w:szCs w:val="22"/>
            </w:rPr>
            <w:t>一、风险评估事项</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"_bookmark3" </w:instrText>
          </w:r>
          <w:r>
            <w:rPr>
              <w:rFonts w:hint="eastAsia" w:ascii="仿宋" w:hAnsi="仿宋" w:eastAsia="仿宋" w:cs="仿宋"/>
              <w:sz w:val="22"/>
              <w:szCs w:val="22"/>
            </w:rPr>
            <w:fldChar w:fldCharType="separate"/>
          </w:r>
          <w:r>
            <w:rPr>
              <w:rFonts w:hint="eastAsia" w:ascii="仿宋" w:hAnsi="仿宋" w:eastAsia="仿宋" w:cs="仿宋"/>
              <w:spacing w:val="-25"/>
              <w:sz w:val="22"/>
              <w:szCs w:val="22"/>
            </w:rPr>
            <w:t>1</w:t>
          </w:r>
          <w:r>
            <w:rPr>
              <w:rFonts w:hint="eastAsia" w:ascii="仿宋" w:hAnsi="仿宋" w:eastAsia="仿宋" w:cs="仿宋"/>
              <w:spacing w:val="-25"/>
              <w:sz w:val="22"/>
              <w:szCs w:val="22"/>
            </w:rPr>
            <w:fldChar w:fldCharType="end"/>
          </w:r>
        </w:p>
        <w:p>
          <w:pPr>
            <w:pStyle w:val="3"/>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_Toc25380 </w:instrText>
          </w:r>
          <w:r>
            <w:rPr>
              <w:rFonts w:hint="eastAsia" w:ascii="仿宋" w:hAnsi="仿宋" w:eastAsia="仿宋" w:cs="仿宋"/>
              <w:sz w:val="22"/>
              <w:szCs w:val="22"/>
            </w:rPr>
            <w:fldChar w:fldCharType="separate"/>
          </w:r>
          <w:r>
            <w:rPr>
              <w:rFonts w:hint="eastAsia" w:ascii="仿宋" w:hAnsi="仿宋" w:eastAsia="仿宋" w:cs="仿宋"/>
              <w:bCs/>
              <w:spacing w:val="10"/>
              <w:sz w:val="22"/>
              <w:szCs w:val="32"/>
            </w:rPr>
            <w:t>(一)评估事项名称</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_Toc25380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3"/>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_Toc2232 </w:instrText>
          </w:r>
          <w:r>
            <w:rPr>
              <w:rFonts w:hint="eastAsia" w:ascii="仿宋" w:hAnsi="仿宋" w:eastAsia="仿宋" w:cs="仿宋"/>
              <w:sz w:val="22"/>
              <w:szCs w:val="22"/>
            </w:rPr>
            <w:fldChar w:fldCharType="separate"/>
          </w:r>
          <w:r>
            <w:rPr>
              <w:rFonts w:hint="eastAsia" w:ascii="仿宋" w:hAnsi="仿宋" w:eastAsia="仿宋" w:cs="仿宋"/>
              <w:bCs/>
              <w:spacing w:val="11"/>
              <w:sz w:val="22"/>
              <w:szCs w:val="32"/>
            </w:rPr>
            <w:t>(二)评估事项制定背景</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_Toc2232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3"/>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_Toc30248 </w:instrText>
          </w:r>
          <w:r>
            <w:rPr>
              <w:rFonts w:hint="eastAsia" w:ascii="仿宋" w:hAnsi="仿宋" w:eastAsia="仿宋" w:cs="仿宋"/>
              <w:sz w:val="22"/>
              <w:szCs w:val="22"/>
            </w:rPr>
            <w:fldChar w:fldCharType="separate"/>
          </w:r>
          <w:r>
            <w:rPr>
              <w:rFonts w:hint="eastAsia" w:ascii="仿宋" w:hAnsi="仿宋" w:eastAsia="仿宋" w:cs="仿宋"/>
              <w:bCs/>
              <w:spacing w:val="6"/>
              <w:sz w:val="22"/>
              <w:szCs w:val="32"/>
            </w:rPr>
            <w:t>(三)评估事项制定过程</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_Toc30248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3"/>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_Toc7875 </w:instrText>
          </w:r>
          <w:r>
            <w:rPr>
              <w:rFonts w:hint="eastAsia" w:ascii="仿宋" w:hAnsi="仿宋" w:eastAsia="仿宋" w:cs="仿宋"/>
              <w:sz w:val="22"/>
              <w:szCs w:val="22"/>
            </w:rPr>
            <w:fldChar w:fldCharType="separate"/>
          </w:r>
          <w:r>
            <w:rPr>
              <w:rFonts w:hint="eastAsia" w:ascii="仿宋" w:hAnsi="仿宋" w:eastAsia="仿宋" w:cs="仿宋"/>
              <w:bCs/>
              <w:spacing w:val="10"/>
              <w:sz w:val="22"/>
              <w:szCs w:val="32"/>
            </w:rPr>
            <w:t>(四)评估事项主要内容</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_Toc7875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7"/>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_Toc28638 </w:instrText>
          </w:r>
          <w:r>
            <w:rPr>
              <w:rFonts w:hint="eastAsia" w:ascii="仿宋" w:hAnsi="仿宋" w:eastAsia="仿宋" w:cs="仿宋"/>
              <w:sz w:val="22"/>
              <w:szCs w:val="22"/>
            </w:rPr>
            <w:fldChar w:fldCharType="separate"/>
          </w:r>
          <w:r>
            <w:rPr>
              <w:rFonts w:hint="eastAsia" w:ascii="仿宋" w:hAnsi="仿宋" w:eastAsia="仿宋" w:cs="仿宋"/>
              <w:bCs/>
              <w:spacing w:val="-4"/>
              <w:sz w:val="22"/>
              <w:szCs w:val="32"/>
            </w:rPr>
            <w:t>二、评估目的</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_Toc28638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7"/>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_Toc695 </w:instrText>
          </w:r>
          <w:r>
            <w:rPr>
              <w:rFonts w:hint="eastAsia" w:ascii="仿宋" w:hAnsi="仿宋" w:eastAsia="仿宋" w:cs="仿宋"/>
              <w:sz w:val="22"/>
              <w:szCs w:val="22"/>
            </w:rPr>
            <w:fldChar w:fldCharType="separate"/>
          </w:r>
          <w:r>
            <w:rPr>
              <w:rFonts w:hint="eastAsia" w:ascii="仿宋" w:hAnsi="仿宋" w:eastAsia="仿宋" w:cs="仿宋"/>
              <w:bCs/>
              <w:spacing w:val="-6"/>
              <w:sz w:val="22"/>
              <w:szCs w:val="32"/>
            </w:rPr>
            <w:t>三、评估依据</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_Toc695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7"/>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_Toc17119 </w:instrText>
          </w:r>
          <w:r>
            <w:rPr>
              <w:rFonts w:hint="eastAsia" w:ascii="仿宋" w:hAnsi="仿宋" w:eastAsia="仿宋" w:cs="仿宋"/>
              <w:sz w:val="22"/>
              <w:szCs w:val="22"/>
            </w:rPr>
            <w:fldChar w:fldCharType="separate"/>
          </w:r>
          <w:r>
            <w:rPr>
              <w:rFonts w:hint="eastAsia" w:ascii="仿宋" w:hAnsi="仿宋" w:eastAsia="仿宋" w:cs="仿宋"/>
              <w:bCs/>
              <w:spacing w:val="-7"/>
              <w:sz w:val="22"/>
              <w:szCs w:val="32"/>
            </w:rPr>
            <w:t>四、评估要点</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_Toc17119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7"/>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_Toc14008 </w:instrText>
          </w:r>
          <w:r>
            <w:rPr>
              <w:rFonts w:hint="eastAsia" w:ascii="仿宋" w:hAnsi="仿宋" w:eastAsia="仿宋" w:cs="仿宋"/>
              <w:sz w:val="22"/>
              <w:szCs w:val="22"/>
            </w:rPr>
            <w:fldChar w:fldCharType="separate"/>
          </w:r>
          <w:r>
            <w:rPr>
              <w:rFonts w:hint="eastAsia" w:ascii="仿宋" w:hAnsi="仿宋" w:eastAsia="仿宋" w:cs="仿宋"/>
              <w:bCs/>
              <w:spacing w:val="-15"/>
              <w:sz w:val="22"/>
              <w:szCs w:val="32"/>
            </w:rPr>
            <w:t>五、评估方法</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_Toc14008 \h </w:instrText>
          </w:r>
          <w:r>
            <w:rPr>
              <w:rFonts w:hint="eastAsia" w:ascii="仿宋" w:hAnsi="仿宋" w:eastAsia="仿宋" w:cs="仿宋"/>
              <w:sz w:val="22"/>
              <w:szCs w:val="22"/>
            </w:rPr>
            <w:fldChar w:fldCharType="separate"/>
          </w:r>
          <w:r>
            <w:rPr>
              <w:rFonts w:hint="eastAsia" w:ascii="仿宋" w:hAnsi="仿宋" w:eastAsia="仿宋" w:cs="仿宋"/>
              <w:sz w:val="22"/>
              <w:szCs w:val="22"/>
            </w:rPr>
            <w:t>8</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7"/>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_Toc8937 </w:instrText>
          </w:r>
          <w:r>
            <w:rPr>
              <w:rFonts w:hint="eastAsia" w:ascii="仿宋" w:hAnsi="仿宋" w:eastAsia="仿宋" w:cs="仿宋"/>
              <w:sz w:val="22"/>
              <w:szCs w:val="22"/>
            </w:rPr>
            <w:fldChar w:fldCharType="separate"/>
          </w:r>
          <w:r>
            <w:rPr>
              <w:rFonts w:hint="eastAsia" w:ascii="仿宋" w:hAnsi="仿宋" w:eastAsia="仿宋" w:cs="仿宋"/>
              <w:bCs/>
              <w:spacing w:val="-14"/>
              <w:sz w:val="22"/>
              <w:szCs w:val="32"/>
            </w:rPr>
            <w:t>六、评估方式</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_Toc8937 \h </w:instrText>
          </w:r>
          <w:r>
            <w:rPr>
              <w:rFonts w:hint="eastAsia" w:ascii="仿宋" w:hAnsi="仿宋" w:eastAsia="仿宋" w:cs="仿宋"/>
              <w:sz w:val="22"/>
              <w:szCs w:val="22"/>
            </w:rPr>
            <w:fldChar w:fldCharType="separate"/>
          </w:r>
          <w:r>
            <w:rPr>
              <w:rFonts w:hint="eastAsia" w:ascii="仿宋" w:hAnsi="仿宋" w:eastAsia="仿宋" w:cs="仿宋"/>
              <w:sz w:val="22"/>
              <w:szCs w:val="22"/>
            </w:rPr>
            <w:t>8</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6"/>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2"/>
              <w:szCs w:val="22"/>
            </w:rPr>
          </w:pP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HYPERLINK \l _Toc6419 </w:instrText>
          </w:r>
          <w:r>
            <w:rPr>
              <w:rFonts w:hint="eastAsia" w:ascii="仿宋" w:hAnsi="仿宋" w:eastAsia="仿宋" w:cs="仿宋"/>
              <w:b/>
              <w:bCs/>
              <w:sz w:val="22"/>
              <w:szCs w:val="22"/>
            </w:rPr>
            <w:fldChar w:fldCharType="separate"/>
          </w:r>
          <w:r>
            <w:rPr>
              <w:rFonts w:hint="eastAsia" w:ascii="仿宋" w:hAnsi="仿宋" w:eastAsia="仿宋" w:cs="仿宋"/>
              <w:b/>
              <w:bCs/>
              <w:spacing w:val="4"/>
              <w:sz w:val="22"/>
              <w:szCs w:val="40"/>
            </w:rPr>
            <w:t>第二部分风险评估内容</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_Toc6419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9</w:t>
          </w:r>
          <w:r>
            <w:rPr>
              <w:rFonts w:hint="eastAsia" w:ascii="仿宋" w:hAnsi="仿宋" w:eastAsia="仿宋" w:cs="仿宋"/>
              <w:b/>
              <w:bCs/>
              <w:sz w:val="22"/>
              <w:szCs w:val="22"/>
            </w:rPr>
            <w:fldChar w:fldCharType="end"/>
          </w:r>
          <w:r>
            <w:rPr>
              <w:rFonts w:hint="eastAsia" w:ascii="仿宋" w:hAnsi="仿宋" w:eastAsia="仿宋" w:cs="仿宋"/>
              <w:b/>
              <w:bCs/>
              <w:sz w:val="22"/>
              <w:szCs w:val="22"/>
            </w:rPr>
            <w:fldChar w:fldCharType="end"/>
          </w:r>
        </w:p>
        <w:p>
          <w:pPr>
            <w:pStyle w:val="7"/>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_Toc4240 </w:instrText>
          </w:r>
          <w:r>
            <w:rPr>
              <w:rFonts w:hint="eastAsia" w:ascii="仿宋" w:hAnsi="仿宋" w:eastAsia="仿宋" w:cs="仿宋"/>
              <w:sz w:val="22"/>
              <w:szCs w:val="22"/>
            </w:rPr>
            <w:fldChar w:fldCharType="separate"/>
          </w:r>
          <w:r>
            <w:rPr>
              <w:rFonts w:hint="eastAsia" w:ascii="仿宋" w:hAnsi="仿宋" w:eastAsia="仿宋" w:cs="仿宋"/>
              <w:bCs/>
              <w:spacing w:val="1"/>
              <w:sz w:val="22"/>
              <w:szCs w:val="32"/>
            </w:rPr>
            <w:t>一、合法性评估</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_Toc4240 \h </w:instrText>
          </w:r>
          <w:r>
            <w:rPr>
              <w:rFonts w:hint="eastAsia" w:ascii="仿宋" w:hAnsi="仿宋" w:eastAsia="仿宋" w:cs="仿宋"/>
              <w:sz w:val="22"/>
              <w:szCs w:val="22"/>
            </w:rPr>
            <w:fldChar w:fldCharType="separate"/>
          </w:r>
          <w:r>
            <w:rPr>
              <w:rFonts w:hint="eastAsia" w:ascii="仿宋" w:hAnsi="仿宋" w:eastAsia="仿宋" w:cs="仿宋"/>
              <w:sz w:val="22"/>
              <w:szCs w:val="22"/>
            </w:rPr>
            <w:t>9</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3"/>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_Toc15773 </w:instrText>
          </w:r>
          <w:r>
            <w:rPr>
              <w:rFonts w:hint="eastAsia" w:ascii="仿宋" w:hAnsi="仿宋" w:eastAsia="仿宋" w:cs="仿宋"/>
              <w:sz w:val="22"/>
              <w:szCs w:val="22"/>
            </w:rPr>
            <w:fldChar w:fldCharType="separate"/>
          </w:r>
          <w:r>
            <w:rPr>
              <w:rFonts w:hint="eastAsia" w:ascii="仿宋" w:hAnsi="仿宋" w:eastAsia="仿宋" w:cs="仿宋"/>
              <w:bCs/>
              <w:spacing w:val="-11"/>
              <w:sz w:val="22"/>
              <w:szCs w:val="32"/>
              <w:lang w:val="en-US" w:eastAsia="zh-CN"/>
            </w:rPr>
            <w:t>(一)决策承办单位主体资格</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_Toc15773 \h </w:instrText>
          </w:r>
          <w:r>
            <w:rPr>
              <w:rFonts w:hint="eastAsia" w:ascii="仿宋" w:hAnsi="仿宋" w:eastAsia="仿宋" w:cs="仿宋"/>
              <w:sz w:val="22"/>
              <w:szCs w:val="22"/>
            </w:rPr>
            <w:fldChar w:fldCharType="separate"/>
          </w:r>
          <w:r>
            <w:rPr>
              <w:rFonts w:hint="eastAsia" w:ascii="仿宋" w:hAnsi="仿宋" w:eastAsia="仿宋" w:cs="仿宋"/>
              <w:sz w:val="22"/>
              <w:szCs w:val="22"/>
            </w:rPr>
            <w:t>9</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3"/>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_Toc22429 </w:instrText>
          </w:r>
          <w:r>
            <w:rPr>
              <w:rFonts w:hint="eastAsia" w:ascii="仿宋" w:hAnsi="仿宋" w:eastAsia="仿宋" w:cs="仿宋"/>
              <w:sz w:val="22"/>
              <w:szCs w:val="22"/>
            </w:rPr>
            <w:fldChar w:fldCharType="separate"/>
          </w:r>
          <w:r>
            <w:rPr>
              <w:rFonts w:hint="eastAsia" w:ascii="仿宋" w:hAnsi="仿宋" w:eastAsia="仿宋" w:cs="仿宋"/>
              <w:bCs/>
              <w:spacing w:val="-11"/>
              <w:sz w:val="22"/>
              <w:szCs w:val="32"/>
              <w:lang w:val="en-US" w:eastAsia="zh-CN"/>
            </w:rPr>
            <w:t>(二)制定依据</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_Toc22429 \h </w:instrText>
          </w:r>
          <w:r>
            <w:rPr>
              <w:rFonts w:hint="eastAsia" w:ascii="仿宋" w:hAnsi="仿宋" w:eastAsia="仿宋" w:cs="仿宋"/>
              <w:sz w:val="22"/>
              <w:szCs w:val="22"/>
            </w:rPr>
            <w:fldChar w:fldCharType="separate"/>
          </w:r>
          <w:r>
            <w:rPr>
              <w:rFonts w:hint="eastAsia" w:ascii="仿宋" w:hAnsi="仿宋" w:eastAsia="仿宋" w:cs="仿宋"/>
              <w:sz w:val="22"/>
              <w:szCs w:val="22"/>
            </w:rPr>
            <w:t>10</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3"/>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_Toc21273 </w:instrText>
          </w:r>
          <w:r>
            <w:rPr>
              <w:rFonts w:hint="eastAsia" w:ascii="仿宋" w:hAnsi="仿宋" w:eastAsia="仿宋" w:cs="仿宋"/>
              <w:sz w:val="22"/>
              <w:szCs w:val="22"/>
            </w:rPr>
            <w:fldChar w:fldCharType="separate"/>
          </w:r>
          <w:r>
            <w:rPr>
              <w:rFonts w:hint="eastAsia" w:ascii="仿宋" w:hAnsi="仿宋" w:eastAsia="仿宋" w:cs="仿宋"/>
              <w:bCs/>
              <w:spacing w:val="-11"/>
              <w:sz w:val="22"/>
              <w:szCs w:val="32"/>
              <w:lang w:val="en-US" w:eastAsia="zh-CN"/>
            </w:rPr>
            <w:t>(三)制定程序</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_Toc21273 \h </w:instrText>
          </w:r>
          <w:r>
            <w:rPr>
              <w:rFonts w:hint="eastAsia" w:ascii="仿宋" w:hAnsi="仿宋" w:eastAsia="仿宋" w:cs="仿宋"/>
              <w:sz w:val="22"/>
              <w:szCs w:val="22"/>
            </w:rPr>
            <w:fldChar w:fldCharType="separate"/>
          </w:r>
          <w:r>
            <w:rPr>
              <w:rFonts w:hint="eastAsia" w:ascii="仿宋" w:hAnsi="仿宋" w:eastAsia="仿宋" w:cs="仿宋"/>
              <w:sz w:val="22"/>
              <w:szCs w:val="22"/>
            </w:rPr>
            <w:t>10</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7"/>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_Toc15712 </w:instrText>
          </w:r>
          <w:r>
            <w:rPr>
              <w:rFonts w:hint="eastAsia" w:ascii="仿宋" w:hAnsi="仿宋" w:eastAsia="仿宋" w:cs="仿宋"/>
              <w:sz w:val="22"/>
              <w:szCs w:val="22"/>
            </w:rPr>
            <w:fldChar w:fldCharType="separate"/>
          </w:r>
          <w:r>
            <w:rPr>
              <w:rFonts w:hint="eastAsia" w:ascii="仿宋" w:hAnsi="仿宋" w:eastAsia="仿宋" w:cs="仿宋"/>
              <w:bCs/>
              <w:spacing w:val="-13"/>
              <w:sz w:val="22"/>
              <w:szCs w:val="32"/>
            </w:rPr>
            <w:t>二、合理性评估</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_Toc15712 \h </w:instrText>
          </w:r>
          <w:r>
            <w:rPr>
              <w:rFonts w:hint="eastAsia" w:ascii="仿宋" w:hAnsi="仿宋" w:eastAsia="仿宋" w:cs="仿宋"/>
              <w:sz w:val="22"/>
              <w:szCs w:val="22"/>
            </w:rPr>
            <w:fldChar w:fldCharType="separate"/>
          </w:r>
          <w:r>
            <w:rPr>
              <w:rFonts w:hint="eastAsia" w:ascii="仿宋" w:hAnsi="仿宋" w:eastAsia="仿宋" w:cs="仿宋"/>
              <w:sz w:val="22"/>
              <w:szCs w:val="22"/>
            </w:rPr>
            <w:t>10</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3"/>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_Toc31948 </w:instrText>
          </w:r>
          <w:r>
            <w:rPr>
              <w:rFonts w:hint="eastAsia" w:ascii="仿宋" w:hAnsi="仿宋" w:eastAsia="仿宋" w:cs="仿宋"/>
              <w:sz w:val="22"/>
              <w:szCs w:val="22"/>
            </w:rPr>
            <w:fldChar w:fldCharType="separate"/>
          </w:r>
          <w:r>
            <w:rPr>
              <w:rFonts w:hint="eastAsia" w:ascii="仿宋" w:hAnsi="仿宋" w:eastAsia="仿宋" w:cs="仿宋"/>
              <w:bCs/>
              <w:spacing w:val="-11"/>
              <w:sz w:val="22"/>
              <w:szCs w:val="32"/>
              <w:lang w:val="en-US" w:eastAsia="zh-CN"/>
            </w:rPr>
            <w:t>(一)实现现代农业产业高质量发展的重大举措</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_Toc31948 \h </w:instrText>
          </w:r>
          <w:r>
            <w:rPr>
              <w:rFonts w:hint="eastAsia" w:ascii="仿宋" w:hAnsi="仿宋" w:eastAsia="仿宋" w:cs="仿宋"/>
              <w:sz w:val="22"/>
              <w:szCs w:val="22"/>
            </w:rPr>
            <w:fldChar w:fldCharType="separate"/>
          </w:r>
          <w:r>
            <w:rPr>
              <w:rFonts w:hint="eastAsia" w:ascii="仿宋" w:hAnsi="仿宋" w:eastAsia="仿宋" w:cs="仿宋"/>
              <w:sz w:val="22"/>
              <w:szCs w:val="22"/>
            </w:rPr>
            <w:t>11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3"/>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_Toc18036 </w:instrText>
          </w:r>
          <w:r>
            <w:rPr>
              <w:rFonts w:hint="eastAsia" w:ascii="仿宋" w:hAnsi="仿宋" w:eastAsia="仿宋" w:cs="仿宋"/>
              <w:sz w:val="22"/>
              <w:szCs w:val="22"/>
            </w:rPr>
            <w:fldChar w:fldCharType="separate"/>
          </w:r>
          <w:r>
            <w:rPr>
              <w:rFonts w:hint="eastAsia" w:ascii="仿宋" w:hAnsi="仿宋" w:eastAsia="仿宋" w:cs="仿宋"/>
              <w:bCs/>
              <w:spacing w:val="-11"/>
              <w:sz w:val="22"/>
              <w:szCs w:val="32"/>
              <w:lang w:val="en-US" w:eastAsia="zh-CN"/>
            </w:rPr>
            <w:t>(二)当前现代农业发展现状对农业扶持政策的实际需要</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_Toc18036 \h </w:instrText>
          </w:r>
          <w:r>
            <w:rPr>
              <w:rFonts w:hint="eastAsia" w:ascii="仿宋" w:hAnsi="仿宋" w:eastAsia="仿宋" w:cs="仿宋"/>
              <w:sz w:val="22"/>
              <w:szCs w:val="22"/>
            </w:rPr>
            <w:fldChar w:fldCharType="separate"/>
          </w:r>
          <w:r>
            <w:rPr>
              <w:rFonts w:hint="eastAsia" w:ascii="仿宋" w:hAnsi="仿宋" w:eastAsia="仿宋" w:cs="仿宋"/>
              <w:sz w:val="22"/>
              <w:szCs w:val="22"/>
            </w:rPr>
            <w:t>11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3"/>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_Toc2467 </w:instrText>
          </w:r>
          <w:r>
            <w:rPr>
              <w:rFonts w:hint="eastAsia" w:ascii="仿宋" w:hAnsi="仿宋" w:eastAsia="仿宋" w:cs="仿宋"/>
              <w:sz w:val="22"/>
              <w:szCs w:val="22"/>
            </w:rPr>
            <w:fldChar w:fldCharType="separate"/>
          </w:r>
          <w:r>
            <w:rPr>
              <w:rFonts w:hint="eastAsia" w:ascii="仿宋" w:hAnsi="仿宋" w:eastAsia="仿宋" w:cs="仿宋"/>
              <w:bCs/>
              <w:spacing w:val="-11"/>
              <w:sz w:val="22"/>
              <w:szCs w:val="32"/>
              <w:lang w:val="en-US" w:eastAsia="zh-CN"/>
            </w:rPr>
            <w:t>(三)响应国务院、市委市政府打造“农业科技创新先行示范区”、“深圳国际食品谷”的战略要求</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_Toc2467 \h </w:instrText>
          </w:r>
          <w:r>
            <w:rPr>
              <w:rFonts w:hint="eastAsia" w:ascii="仿宋" w:hAnsi="仿宋" w:eastAsia="仿宋" w:cs="仿宋"/>
              <w:sz w:val="22"/>
              <w:szCs w:val="22"/>
            </w:rPr>
            <w:fldChar w:fldCharType="separate"/>
          </w:r>
          <w:r>
            <w:rPr>
              <w:rFonts w:hint="eastAsia" w:ascii="仿宋" w:hAnsi="仿宋" w:eastAsia="仿宋" w:cs="仿宋"/>
              <w:sz w:val="22"/>
              <w:szCs w:val="22"/>
            </w:rPr>
            <w:t>12</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7"/>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_Toc30670 </w:instrText>
          </w:r>
          <w:r>
            <w:rPr>
              <w:rFonts w:hint="eastAsia" w:ascii="仿宋" w:hAnsi="仿宋" w:eastAsia="仿宋" w:cs="仿宋"/>
              <w:sz w:val="22"/>
              <w:szCs w:val="22"/>
            </w:rPr>
            <w:fldChar w:fldCharType="separate"/>
          </w:r>
          <w:r>
            <w:rPr>
              <w:rFonts w:hint="eastAsia" w:ascii="仿宋" w:hAnsi="仿宋" w:eastAsia="仿宋" w:cs="仿宋"/>
              <w:bCs/>
              <w:spacing w:val="-16"/>
              <w:sz w:val="22"/>
              <w:szCs w:val="32"/>
            </w:rPr>
            <w:t>三、可行性评估</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_Toc30670 \h </w:instrText>
          </w:r>
          <w:r>
            <w:rPr>
              <w:rFonts w:hint="eastAsia" w:ascii="仿宋" w:hAnsi="仿宋" w:eastAsia="仿宋" w:cs="仿宋"/>
              <w:sz w:val="22"/>
              <w:szCs w:val="22"/>
            </w:rPr>
            <w:fldChar w:fldCharType="separate"/>
          </w:r>
          <w:r>
            <w:rPr>
              <w:rFonts w:hint="eastAsia" w:ascii="仿宋" w:hAnsi="仿宋" w:eastAsia="仿宋" w:cs="仿宋"/>
              <w:sz w:val="22"/>
              <w:szCs w:val="22"/>
            </w:rPr>
            <w:t>13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3"/>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_Toc32153 </w:instrText>
          </w:r>
          <w:r>
            <w:rPr>
              <w:rFonts w:hint="eastAsia" w:ascii="仿宋" w:hAnsi="仿宋" w:eastAsia="仿宋" w:cs="仿宋"/>
              <w:sz w:val="22"/>
              <w:szCs w:val="22"/>
            </w:rPr>
            <w:fldChar w:fldCharType="separate"/>
          </w:r>
          <w:r>
            <w:rPr>
              <w:rFonts w:hint="eastAsia" w:ascii="仿宋" w:hAnsi="仿宋" w:eastAsia="仿宋" w:cs="仿宋"/>
              <w:bCs/>
              <w:spacing w:val="-11"/>
              <w:sz w:val="22"/>
              <w:szCs w:val="32"/>
              <w:lang w:val="en-US" w:eastAsia="zh-CN"/>
            </w:rPr>
            <w:t>(一)科技创新体系和安全监管体系的不断完善，为《若干措施》的施行提供了保障</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_Toc32153 \h </w:instrText>
          </w:r>
          <w:r>
            <w:rPr>
              <w:rFonts w:hint="eastAsia" w:ascii="仿宋" w:hAnsi="仿宋" w:eastAsia="仿宋" w:cs="仿宋"/>
              <w:sz w:val="22"/>
              <w:szCs w:val="22"/>
            </w:rPr>
            <w:fldChar w:fldCharType="separate"/>
          </w:r>
          <w:r>
            <w:rPr>
              <w:rFonts w:hint="eastAsia" w:ascii="仿宋" w:hAnsi="仿宋" w:eastAsia="仿宋" w:cs="仿宋"/>
              <w:sz w:val="22"/>
              <w:szCs w:val="22"/>
            </w:rPr>
            <w:t>13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3"/>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_Toc21766 </w:instrText>
          </w:r>
          <w:r>
            <w:rPr>
              <w:rFonts w:hint="eastAsia" w:ascii="仿宋" w:hAnsi="仿宋" w:eastAsia="仿宋" w:cs="仿宋"/>
              <w:sz w:val="22"/>
              <w:szCs w:val="22"/>
            </w:rPr>
            <w:fldChar w:fldCharType="separate"/>
          </w:r>
          <w:r>
            <w:rPr>
              <w:rFonts w:hint="eastAsia" w:ascii="仿宋" w:hAnsi="仿宋" w:eastAsia="仿宋" w:cs="仿宋"/>
              <w:bCs/>
              <w:spacing w:val="-11"/>
              <w:sz w:val="22"/>
              <w:szCs w:val="32"/>
              <w:lang w:val="en-US" w:eastAsia="zh-CN"/>
            </w:rPr>
            <w:t>(二)前期制度的实施成效促进了《若干措施》的可操作性</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_Toc21766 \h </w:instrText>
          </w:r>
          <w:r>
            <w:rPr>
              <w:rFonts w:hint="eastAsia" w:ascii="仿宋" w:hAnsi="仿宋" w:eastAsia="仿宋" w:cs="仿宋"/>
              <w:sz w:val="22"/>
              <w:szCs w:val="22"/>
            </w:rPr>
            <w:fldChar w:fldCharType="separate"/>
          </w:r>
          <w:r>
            <w:rPr>
              <w:rFonts w:hint="eastAsia" w:ascii="仿宋" w:hAnsi="仿宋" w:eastAsia="仿宋" w:cs="仿宋"/>
              <w:sz w:val="22"/>
              <w:szCs w:val="22"/>
            </w:rPr>
            <w:t>15</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3"/>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_Toc18239 </w:instrText>
          </w:r>
          <w:r>
            <w:rPr>
              <w:rFonts w:hint="eastAsia" w:ascii="仿宋" w:hAnsi="仿宋" w:eastAsia="仿宋" w:cs="仿宋"/>
              <w:sz w:val="22"/>
              <w:szCs w:val="22"/>
            </w:rPr>
            <w:fldChar w:fldCharType="separate"/>
          </w:r>
          <w:r>
            <w:rPr>
              <w:rFonts w:hint="eastAsia" w:ascii="仿宋" w:hAnsi="仿宋" w:eastAsia="仿宋" w:cs="仿宋"/>
              <w:bCs/>
              <w:spacing w:val="-11"/>
              <w:sz w:val="22"/>
              <w:szCs w:val="32"/>
            </w:rPr>
            <w:t>(三)《深圳市市场监督管理局专项资金管理办法》</w:t>
          </w:r>
          <w:r>
            <w:rPr>
              <w:rFonts w:hint="eastAsia" w:ascii="仿宋" w:hAnsi="仿宋" w:eastAsia="仿宋" w:cs="仿宋"/>
              <w:bCs/>
              <w:spacing w:val="-12"/>
              <w:sz w:val="22"/>
              <w:szCs w:val="32"/>
            </w:rPr>
            <w:t>的</w:t>
          </w:r>
          <w:r>
            <w:rPr>
              <w:rFonts w:hint="eastAsia" w:ascii="仿宋" w:hAnsi="仿宋" w:eastAsia="仿宋" w:cs="仿宋"/>
              <w:bCs/>
              <w:spacing w:val="-6"/>
              <w:sz w:val="22"/>
              <w:szCs w:val="32"/>
            </w:rPr>
            <w:t>制定及颁布，为</w:t>
          </w:r>
          <w:r>
            <w:rPr>
              <w:rFonts w:hint="eastAsia" w:ascii="仿宋" w:hAnsi="仿宋" w:eastAsia="仿宋" w:cs="仿宋"/>
              <w:bCs/>
              <w:spacing w:val="-6"/>
              <w:sz w:val="22"/>
              <w:szCs w:val="32"/>
              <w:lang w:val="en-US" w:eastAsia="zh-CN"/>
            </w:rPr>
            <w:t>《若干措施》</w:t>
          </w:r>
          <w:r>
            <w:rPr>
              <w:rFonts w:hint="eastAsia" w:ascii="仿宋" w:hAnsi="仿宋" w:eastAsia="仿宋" w:cs="仿宋"/>
              <w:bCs/>
              <w:spacing w:val="-6"/>
              <w:sz w:val="22"/>
              <w:szCs w:val="32"/>
            </w:rPr>
            <w:t>的制定和施行提供了良好的</w:t>
          </w:r>
          <w:r>
            <w:rPr>
              <w:rFonts w:hint="eastAsia" w:ascii="仿宋" w:hAnsi="仿宋" w:eastAsia="仿宋" w:cs="仿宋"/>
              <w:bCs/>
              <w:spacing w:val="-7"/>
              <w:sz w:val="22"/>
              <w:szCs w:val="32"/>
            </w:rPr>
            <w:t>外</w:t>
          </w:r>
          <w:r>
            <w:rPr>
              <w:rFonts w:hint="eastAsia" w:ascii="仿宋" w:hAnsi="仿宋" w:eastAsia="仿宋" w:cs="仿宋"/>
              <w:bCs/>
              <w:spacing w:val="4"/>
              <w:sz w:val="22"/>
              <w:szCs w:val="32"/>
            </w:rPr>
            <w:t>部环境</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_Toc18239 \h </w:instrText>
          </w:r>
          <w:r>
            <w:rPr>
              <w:rFonts w:hint="eastAsia" w:ascii="仿宋" w:hAnsi="仿宋" w:eastAsia="仿宋" w:cs="仿宋"/>
              <w:sz w:val="22"/>
              <w:szCs w:val="22"/>
            </w:rPr>
            <w:fldChar w:fldCharType="separate"/>
          </w:r>
          <w:r>
            <w:rPr>
              <w:rFonts w:hint="eastAsia" w:ascii="仿宋" w:hAnsi="仿宋" w:eastAsia="仿宋" w:cs="仿宋"/>
              <w:sz w:val="22"/>
              <w:szCs w:val="22"/>
            </w:rPr>
            <w:t>16</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ind w:firstLine="792" w:firstLineChars="400"/>
            <w:rPr>
              <w:rFonts w:hint="default" w:ascii="仿宋" w:hAnsi="仿宋" w:eastAsia="仿宋" w:cs="仿宋"/>
              <w:bCs/>
              <w:snapToGrid w:val="0"/>
              <w:color w:val="000000"/>
              <w:spacing w:val="-11"/>
              <w:kern w:val="0"/>
              <w:sz w:val="22"/>
              <w:szCs w:val="32"/>
              <w:lang w:val="en-US" w:eastAsia="zh-CN"/>
            </w:rPr>
          </w:pPr>
          <w:r>
            <w:rPr>
              <w:rFonts w:hint="eastAsia" w:ascii="仿宋" w:hAnsi="仿宋" w:eastAsia="仿宋" w:cs="仿宋"/>
              <w:bCs/>
              <w:snapToGrid w:val="0"/>
              <w:color w:val="000000"/>
              <w:spacing w:val="-11"/>
              <w:kern w:val="0"/>
              <w:sz w:val="22"/>
              <w:szCs w:val="32"/>
            </w:rPr>
            <w:t>(四)充分征求并采纳各方意见，增强了《若干措施》的制定和施行的可行性依据</w:t>
          </w:r>
          <w:r>
            <w:rPr>
              <w:rFonts w:hint="eastAsia" w:ascii="仿宋" w:hAnsi="仿宋" w:eastAsia="仿宋" w:cs="仿宋"/>
              <w:bCs/>
              <w:snapToGrid w:val="0"/>
              <w:color w:val="000000"/>
              <w:spacing w:val="-11"/>
              <w:kern w:val="0"/>
              <w:sz w:val="22"/>
              <w:szCs w:val="32"/>
              <w:lang w:val="en-US" w:eastAsia="zh-CN"/>
            </w:rPr>
            <w:t>.16</w:t>
          </w:r>
        </w:p>
        <w:p>
          <w:pPr>
            <w:pStyle w:val="7"/>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_Toc11845 </w:instrText>
          </w:r>
          <w:r>
            <w:rPr>
              <w:rFonts w:hint="eastAsia" w:ascii="仿宋" w:hAnsi="仿宋" w:eastAsia="仿宋" w:cs="仿宋"/>
              <w:sz w:val="22"/>
              <w:szCs w:val="22"/>
            </w:rPr>
            <w:fldChar w:fldCharType="separate"/>
          </w:r>
          <w:r>
            <w:rPr>
              <w:rFonts w:hint="eastAsia" w:ascii="仿宋" w:hAnsi="仿宋" w:eastAsia="仿宋" w:cs="仿宋"/>
              <w:bCs/>
              <w:spacing w:val="-13"/>
              <w:sz w:val="22"/>
              <w:szCs w:val="32"/>
            </w:rPr>
            <w:t>四、可控性评估</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_Toc11845 \h </w:instrText>
          </w:r>
          <w:r>
            <w:rPr>
              <w:rFonts w:hint="eastAsia" w:ascii="仿宋" w:hAnsi="仿宋" w:eastAsia="仿宋" w:cs="仿宋"/>
              <w:sz w:val="22"/>
              <w:szCs w:val="22"/>
            </w:rPr>
            <w:fldChar w:fldCharType="separate"/>
          </w:r>
          <w:r>
            <w:rPr>
              <w:rFonts w:hint="eastAsia" w:ascii="仿宋" w:hAnsi="仿宋" w:eastAsia="仿宋" w:cs="仿宋"/>
              <w:sz w:val="22"/>
              <w:szCs w:val="22"/>
            </w:rPr>
            <w:t>16</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3"/>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_Toc2707 </w:instrText>
          </w:r>
          <w:r>
            <w:rPr>
              <w:rFonts w:hint="eastAsia" w:ascii="仿宋" w:hAnsi="仿宋" w:eastAsia="仿宋" w:cs="仿宋"/>
              <w:sz w:val="22"/>
              <w:szCs w:val="22"/>
            </w:rPr>
            <w:fldChar w:fldCharType="separate"/>
          </w:r>
          <w:r>
            <w:rPr>
              <w:rFonts w:hint="eastAsia" w:ascii="仿宋" w:hAnsi="仿宋" w:eastAsia="仿宋" w:cs="仿宋"/>
              <w:bCs/>
              <w:spacing w:val="9"/>
              <w:sz w:val="22"/>
              <w:szCs w:val="32"/>
            </w:rPr>
            <w:t>(一)可能存在的风险点</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_Toc2707 \h </w:instrText>
          </w:r>
          <w:r>
            <w:rPr>
              <w:rFonts w:hint="eastAsia" w:ascii="仿宋" w:hAnsi="仿宋" w:eastAsia="仿宋" w:cs="仿宋"/>
              <w:sz w:val="22"/>
              <w:szCs w:val="22"/>
            </w:rPr>
            <w:fldChar w:fldCharType="separate"/>
          </w:r>
          <w:r>
            <w:rPr>
              <w:rFonts w:hint="eastAsia" w:ascii="仿宋" w:hAnsi="仿宋" w:eastAsia="仿宋" w:cs="仿宋"/>
              <w:sz w:val="22"/>
              <w:szCs w:val="22"/>
            </w:rPr>
            <w:t>17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3"/>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_Toc8760 </w:instrText>
          </w:r>
          <w:r>
            <w:rPr>
              <w:rFonts w:hint="eastAsia" w:ascii="仿宋" w:hAnsi="仿宋" w:eastAsia="仿宋" w:cs="仿宋"/>
              <w:sz w:val="22"/>
              <w:szCs w:val="22"/>
            </w:rPr>
            <w:fldChar w:fldCharType="separate"/>
          </w:r>
          <w:r>
            <w:rPr>
              <w:rFonts w:hint="eastAsia" w:ascii="仿宋" w:hAnsi="仿宋" w:eastAsia="仿宋" w:cs="仿宋"/>
              <w:bCs/>
              <w:spacing w:val="4"/>
              <w:sz w:val="22"/>
              <w:szCs w:val="32"/>
            </w:rPr>
            <w:t>(二)</w:t>
          </w:r>
          <w:r>
            <w:rPr>
              <w:rFonts w:hint="eastAsia" w:ascii="仿宋" w:hAnsi="仿宋" w:eastAsia="仿宋" w:cs="仿宋"/>
              <w:bCs/>
              <w:spacing w:val="4"/>
              <w:sz w:val="22"/>
              <w:szCs w:val="32"/>
              <w:highlight w:val="none"/>
            </w:rPr>
            <w:t>风险防范、减缓及化解措施建议</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_Toc8760 \h </w:instrText>
          </w:r>
          <w:r>
            <w:rPr>
              <w:rFonts w:hint="eastAsia" w:ascii="仿宋" w:hAnsi="仿宋" w:eastAsia="仿宋" w:cs="仿宋"/>
              <w:sz w:val="22"/>
              <w:szCs w:val="22"/>
            </w:rPr>
            <w:fldChar w:fldCharType="separate"/>
          </w:r>
          <w:r>
            <w:rPr>
              <w:rFonts w:hint="eastAsia" w:ascii="仿宋" w:hAnsi="仿宋" w:eastAsia="仿宋" w:cs="仿宋"/>
              <w:sz w:val="22"/>
              <w:szCs w:val="22"/>
            </w:rPr>
            <w:t>18</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pPr>
            <w:pStyle w:val="6"/>
            <w:keepNext w:val="0"/>
            <w:keepLines w:val="0"/>
            <w:pageBreakBefore w:val="0"/>
            <w:widowControl/>
            <w:tabs>
              <w:tab w:val="right" w:leader="dot" w:pos="8475"/>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2"/>
              <w:szCs w:val="22"/>
            </w:rPr>
          </w:pP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HYPERLINK \l _Toc29581 </w:instrText>
          </w:r>
          <w:r>
            <w:rPr>
              <w:rFonts w:hint="eastAsia" w:ascii="仿宋" w:hAnsi="仿宋" w:eastAsia="仿宋" w:cs="仿宋"/>
              <w:b/>
              <w:bCs/>
              <w:sz w:val="22"/>
              <w:szCs w:val="22"/>
            </w:rPr>
            <w:fldChar w:fldCharType="separate"/>
          </w:r>
          <w:r>
            <w:rPr>
              <w:rFonts w:hint="eastAsia" w:ascii="仿宋" w:hAnsi="仿宋" w:eastAsia="仿宋" w:cs="仿宋"/>
              <w:b/>
              <w:bCs/>
              <w:spacing w:val="3"/>
              <w:sz w:val="22"/>
              <w:szCs w:val="40"/>
            </w:rPr>
            <w:t>第三部分风险评估结论</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_Toc29581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20</w:t>
          </w:r>
          <w:r>
            <w:rPr>
              <w:rFonts w:hint="eastAsia" w:ascii="仿宋" w:hAnsi="仿宋" w:eastAsia="仿宋" w:cs="仿宋"/>
              <w:b/>
              <w:bCs/>
              <w:sz w:val="22"/>
              <w:szCs w:val="22"/>
            </w:rPr>
            <w:fldChar w:fldCharType="end"/>
          </w:r>
          <w:r>
            <w:rPr>
              <w:rFonts w:hint="eastAsia" w:ascii="仿宋" w:hAnsi="仿宋" w:eastAsia="仿宋" w:cs="仿宋"/>
              <w:b/>
              <w:bCs/>
              <w:sz w:val="22"/>
              <w:szCs w:val="22"/>
            </w:rPr>
            <w:fldChar w:fldCharType="end"/>
          </w:r>
        </w:p>
        <w:p>
          <w:pPr>
            <w:keepNext w:val="0"/>
            <w:keepLines w:val="0"/>
            <w:pageBreakBefore w:val="0"/>
            <w:widowControl/>
            <w:kinsoku w:val="0"/>
            <w:wordWrap/>
            <w:overflowPunct/>
            <w:topLinePunct w:val="0"/>
            <w:autoSpaceDE w:val="0"/>
            <w:autoSpaceDN w:val="0"/>
            <w:bidi w:val="0"/>
            <w:adjustRightInd w:val="0"/>
            <w:snapToGrid w:val="0"/>
            <w:spacing w:before="0" w:line="360" w:lineRule="auto"/>
            <w:textAlignment w:val="baseline"/>
            <w:rPr>
              <w:sz w:val="22"/>
              <w:szCs w:val="22"/>
            </w:rPr>
            <w:sectPr>
              <w:pgSz w:w="11900" w:h="16820"/>
              <w:pgMar w:top="1429" w:right="1640" w:bottom="0" w:left="1785" w:header="0" w:footer="0" w:gutter="0"/>
              <w:cols w:space="720" w:num="1"/>
            </w:sectPr>
          </w:pPr>
          <w:r>
            <w:rPr>
              <w:rFonts w:hint="eastAsia" w:ascii="仿宋" w:hAnsi="仿宋" w:eastAsia="仿宋" w:cs="仿宋"/>
              <w:sz w:val="22"/>
              <w:szCs w:val="22"/>
            </w:rPr>
            <w:fldChar w:fldCharType="end"/>
          </w:r>
        </w:p>
      </w:sdtContent>
    </w:sdt>
    <w:p>
      <w:pPr>
        <w:spacing w:line="286" w:lineRule="auto"/>
        <w:rPr>
          <w:rFonts w:ascii="Arial"/>
          <w:sz w:val="21"/>
        </w:rPr>
      </w:pPr>
    </w:p>
    <w:p>
      <w:pPr>
        <w:spacing w:before="1" w:line="221" w:lineRule="auto"/>
        <w:jc w:val="center"/>
        <w:rPr>
          <w:rFonts w:hint="default" w:ascii="黑体" w:hAnsi="黑体" w:eastAsia="黑体" w:cs="黑体"/>
          <w:sz w:val="43"/>
          <w:szCs w:val="43"/>
          <w:lang w:val="en-US" w:eastAsia="zh-CN"/>
        </w:rPr>
      </w:pPr>
      <w:r>
        <w:rPr>
          <w:rFonts w:ascii="黑体" w:hAnsi="黑体" w:eastAsia="黑体" w:cs="黑体"/>
          <w:b/>
          <w:bCs/>
          <w:spacing w:val="-9"/>
          <w:position w:val="11"/>
          <w:sz w:val="43"/>
          <w:szCs w:val="43"/>
        </w:rPr>
        <w:t>关于</w:t>
      </w:r>
      <w:r>
        <w:rPr>
          <w:rFonts w:hint="eastAsia" w:ascii="黑体" w:hAnsi="黑体" w:eastAsia="黑体" w:cs="黑体"/>
          <w:b/>
          <w:bCs/>
          <w:spacing w:val="-9"/>
          <w:position w:val="11"/>
          <w:sz w:val="43"/>
          <w:szCs w:val="43"/>
        </w:rPr>
        <w:t>《深圳市支持现代农业高质量发展的若干措施》(送审稿)</w:t>
      </w:r>
      <w:r>
        <w:rPr>
          <w:rFonts w:hint="eastAsia" w:ascii="黑体" w:hAnsi="黑体" w:eastAsia="黑体" w:cs="黑体"/>
          <w:b/>
          <w:bCs/>
          <w:spacing w:val="-9"/>
          <w:position w:val="11"/>
          <w:sz w:val="43"/>
          <w:szCs w:val="43"/>
          <w:lang w:val="en-US" w:eastAsia="zh-CN"/>
        </w:rPr>
        <w:t>的风险评估报告</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13" w:line="221" w:lineRule="auto"/>
        <w:ind w:left="1839"/>
        <w:outlineLvl w:val="0"/>
        <w:rPr>
          <w:rFonts w:ascii="黑体" w:hAnsi="黑体" w:eastAsia="黑体" w:cs="黑体"/>
          <w:sz w:val="35"/>
          <w:szCs w:val="35"/>
        </w:rPr>
      </w:pPr>
      <w:bookmarkStart w:id="0" w:name="_Toc5958"/>
      <w:r>
        <w:rPr>
          <w:rFonts w:ascii="黑体" w:hAnsi="黑体" w:eastAsia="黑体" w:cs="黑体"/>
          <w:b/>
          <w:bCs/>
          <w:spacing w:val="-4"/>
          <w:sz w:val="35"/>
          <w:szCs w:val="35"/>
        </w:rPr>
        <w:t>第一部分风险评估事项概述</w:t>
      </w:r>
      <w:bookmarkEnd w:id="0"/>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95" w:line="780" w:lineRule="exact"/>
        <w:ind w:left="649"/>
        <w:outlineLvl w:val="1"/>
        <w:rPr>
          <w:rFonts w:ascii="黑体" w:hAnsi="黑体" w:eastAsia="黑体" w:cs="黑体"/>
          <w:sz w:val="29"/>
          <w:szCs w:val="29"/>
        </w:rPr>
      </w:pPr>
      <w:bookmarkStart w:id="1" w:name="_Toc11349"/>
      <w:r>
        <w:rPr>
          <w:rFonts w:ascii="黑体" w:hAnsi="黑体" w:eastAsia="黑体" w:cs="黑体"/>
          <w:b/>
          <w:bCs/>
          <w:spacing w:val="-1"/>
          <w:position w:val="37"/>
          <w:sz w:val="29"/>
          <w:szCs w:val="29"/>
        </w:rPr>
        <w:t>一、风险评估事项</w:t>
      </w:r>
      <w:bookmarkEnd w:id="1"/>
    </w:p>
    <w:p>
      <w:pPr>
        <w:spacing w:line="221" w:lineRule="auto"/>
        <w:ind w:left="789"/>
        <w:outlineLvl w:val="2"/>
        <w:rPr>
          <w:rFonts w:ascii="黑体" w:hAnsi="黑体" w:eastAsia="黑体" w:cs="黑体"/>
          <w:sz w:val="29"/>
          <w:szCs w:val="29"/>
        </w:rPr>
      </w:pPr>
      <w:bookmarkStart w:id="2" w:name="_Toc25380"/>
      <w:r>
        <w:rPr>
          <w:rFonts w:ascii="黑体" w:hAnsi="黑体" w:eastAsia="黑体" w:cs="黑体"/>
          <w:b/>
          <w:bCs/>
          <w:spacing w:val="10"/>
          <w:sz w:val="29"/>
          <w:szCs w:val="29"/>
        </w:rPr>
        <w:t>(一)评估事项名称</w:t>
      </w:r>
      <w:bookmarkEnd w:id="2"/>
    </w:p>
    <w:p>
      <w:pPr>
        <w:spacing w:line="306" w:lineRule="auto"/>
        <w:rPr>
          <w:rFonts w:ascii="Arial"/>
          <w:sz w:val="21"/>
        </w:rPr>
      </w:pPr>
    </w:p>
    <w:p>
      <w:pPr>
        <w:spacing w:before="95" w:line="600" w:lineRule="exact"/>
        <w:ind w:firstLine="632" w:firstLineChars="200"/>
        <w:jc w:val="both"/>
        <w:rPr>
          <w:rFonts w:hint="default" w:ascii="仿宋" w:hAnsi="仿宋" w:eastAsia="仿宋" w:cs="仿宋"/>
          <w:sz w:val="29"/>
          <w:szCs w:val="29"/>
          <w:lang w:val="en-US" w:eastAsia="zh-CN"/>
        </w:rPr>
      </w:pPr>
      <w:r>
        <w:rPr>
          <w:rFonts w:hint="eastAsia" w:ascii="仿宋" w:hAnsi="仿宋" w:eastAsia="仿宋" w:cs="仿宋"/>
          <w:spacing w:val="13"/>
          <w:position w:val="23"/>
          <w:sz w:val="29"/>
          <w:szCs w:val="29"/>
        </w:rPr>
        <w:t>《深圳市支持现代农业高质量发展的若干措施》(送审稿)</w:t>
      </w:r>
      <w:r>
        <w:rPr>
          <w:rFonts w:ascii="仿宋" w:hAnsi="仿宋" w:eastAsia="仿宋" w:cs="仿宋"/>
          <w:spacing w:val="13"/>
          <w:position w:val="23"/>
          <w:sz w:val="29"/>
          <w:szCs w:val="29"/>
        </w:rPr>
        <w:t>(以下</w:t>
      </w:r>
      <w:r>
        <w:rPr>
          <w:rFonts w:hint="eastAsia" w:ascii="仿宋" w:hAnsi="仿宋" w:eastAsia="仿宋" w:cs="仿宋"/>
          <w:spacing w:val="13"/>
          <w:position w:val="23"/>
          <w:sz w:val="29"/>
          <w:szCs w:val="29"/>
          <w:lang w:val="en-US" w:eastAsia="zh-CN"/>
        </w:rPr>
        <w:t>简称《若干措施》）。</w:t>
      </w:r>
    </w:p>
    <w:p>
      <w:pPr>
        <w:spacing w:line="314" w:lineRule="auto"/>
        <w:rPr>
          <w:rFonts w:ascii="Arial"/>
          <w:sz w:val="21"/>
        </w:rPr>
      </w:pPr>
    </w:p>
    <w:p>
      <w:pPr>
        <w:spacing w:before="95" w:line="221" w:lineRule="auto"/>
        <w:ind w:left="789"/>
        <w:outlineLvl w:val="2"/>
        <w:rPr>
          <w:rFonts w:ascii="黑体" w:hAnsi="黑体" w:eastAsia="黑体" w:cs="黑体"/>
          <w:sz w:val="29"/>
          <w:szCs w:val="29"/>
        </w:rPr>
      </w:pPr>
      <w:bookmarkStart w:id="3" w:name="_Toc2232"/>
      <w:r>
        <w:rPr>
          <w:rFonts w:ascii="黑体" w:hAnsi="黑体" w:eastAsia="黑体" w:cs="黑体"/>
          <w:b/>
          <w:bCs/>
          <w:spacing w:val="11"/>
          <w:sz w:val="29"/>
          <w:szCs w:val="29"/>
        </w:rPr>
        <w:t>(二)评估事项制定背景</w:t>
      </w:r>
      <w:bookmarkEnd w:id="3"/>
    </w:p>
    <w:p>
      <w:pPr>
        <w:spacing w:line="317" w:lineRule="auto"/>
        <w:rPr>
          <w:rFonts w:ascii="Arial"/>
          <w:sz w:val="21"/>
        </w:rPr>
      </w:pPr>
    </w:p>
    <w:p>
      <w:pPr>
        <w:spacing w:before="95" w:line="382" w:lineRule="auto"/>
        <w:ind w:left="74" w:right="216" w:firstLine="570"/>
        <w:jc w:val="both"/>
        <w:rPr>
          <w:rFonts w:hint="default" w:ascii="仿宋" w:hAnsi="仿宋" w:eastAsia="仿宋" w:cs="仿宋"/>
          <w:spacing w:val="8"/>
          <w:sz w:val="29"/>
          <w:szCs w:val="29"/>
          <w:lang w:val="en-US" w:eastAsia="zh-CN"/>
        </w:rPr>
      </w:pPr>
      <w:r>
        <w:rPr>
          <w:rFonts w:hint="eastAsia" w:ascii="仿宋" w:hAnsi="仿宋" w:eastAsia="仿宋" w:cs="仿宋"/>
          <w:spacing w:val="8"/>
          <w:sz w:val="29"/>
          <w:szCs w:val="29"/>
          <w:lang w:val="en-US" w:eastAsia="zh-CN"/>
        </w:rPr>
        <w:t>为</w:t>
      </w:r>
      <w:r>
        <w:rPr>
          <w:rFonts w:hint="eastAsia" w:ascii="仿宋" w:hAnsi="仿宋" w:eastAsia="仿宋" w:cs="仿宋"/>
          <w:spacing w:val="8"/>
          <w:sz w:val="29"/>
          <w:szCs w:val="29"/>
        </w:rPr>
        <w:t>落实国务院、市委市政府打造“农业科技创新先行示范区”、“深圳国际食品谷”的战略部署</w:t>
      </w:r>
      <w:r>
        <w:rPr>
          <w:rFonts w:hint="eastAsia" w:ascii="仿宋" w:hAnsi="仿宋" w:eastAsia="仿宋" w:cs="仿宋"/>
          <w:spacing w:val="8"/>
          <w:sz w:val="29"/>
          <w:szCs w:val="29"/>
          <w:lang w:eastAsia="zh-CN"/>
        </w:rPr>
        <w:t>，国家、省、市在农业科技创新、现代农业高质量发展、民生保供、质量管理等领域的重大决策，</w:t>
      </w:r>
      <w:r>
        <w:rPr>
          <w:rFonts w:hint="eastAsia" w:ascii="仿宋" w:hAnsi="仿宋" w:eastAsia="仿宋" w:cs="仿宋"/>
          <w:spacing w:val="8"/>
          <w:sz w:val="29"/>
          <w:szCs w:val="29"/>
          <w:lang w:val="en-US" w:eastAsia="zh-CN"/>
        </w:rPr>
        <w:t>深圳市积极响应</w:t>
      </w:r>
      <w:r>
        <w:rPr>
          <w:rFonts w:hint="eastAsia" w:ascii="仿宋" w:hAnsi="仿宋" w:eastAsia="仿宋" w:cs="仿宋"/>
          <w:spacing w:val="8"/>
          <w:sz w:val="29"/>
          <w:szCs w:val="29"/>
          <w:lang w:eastAsia="zh-CN"/>
        </w:rPr>
        <w:t>国家省级关于部分土地出让金用于农业农村支出的要求，</w:t>
      </w:r>
      <w:r>
        <w:rPr>
          <w:rFonts w:hint="eastAsia" w:ascii="仿宋" w:hAnsi="仿宋" w:eastAsia="仿宋" w:cs="仿宋"/>
          <w:spacing w:val="8"/>
          <w:sz w:val="29"/>
          <w:szCs w:val="29"/>
          <w:lang w:val="en-US" w:eastAsia="zh-CN"/>
        </w:rPr>
        <w:t>制定</w:t>
      </w:r>
      <w:r>
        <w:rPr>
          <w:rFonts w:hint="eastAsia" w:ascii="仿宋" w:hAnsi="仿宋" w:eastAsia="仿宋" w:cs="仿宋"/>
          <w:spacing w:val="8"/>
          <w:sz w:val="29"/>
          <w:szCs w:val="29"/>
          <w:lang w:eastAsia="zh-CN"/>
        </w:rPr>
        <w:t>农业发展专项资金政策，</w:t>
      </w:r>
      <w:r>
        <w:rPr>
          <w:rFonts w:hint="eastAsia" w:ascii="仿宋" w:hAnsi="仿宋" w:eastAsia="仿宋" w:cs="仿宋"/>
          <w:spacing w:val="8"/>
          <w:sz w:val="29"/>
          <w:szCs w:val="29"/>
          <w:lang w:val="en-US" w:eastAsia="zh-CN"/>
        </w:rPr>
        <w:t>推动深圳现代农业高质量发展，打造“农业科技创新先行示范区”以及“深圳国际食品谷”。</w:t>
      </w:r>
    </w:p>
    <w:p>
      <w:pPr>
        <w:spacing w:before="95" w:line="382" w:lineRule="auto"/>
        <w:ind w:left="74" w:right="216" w:firstLine="570"/>
        <w:jc w:val="both"/>
        <w:rPr>
          <w:rFonts w:hint="eastAsia" w:ascii="仿宋" w:hAnsi="仿宋" w:eastAsia="仿宋" w:cs="仿宋"/>
          <w:spacing w:val="8"/>
          <w:sz w:val="29"/>
          <w:szCs w:val="29"/>
          <w:lang w:eastAsia="zh-CN"/>
        </w:rPr>
      </w:pPr>
      <w:r>
        <w:rPr>
          <w:rFonts w:hint="eastAsia" w:ascii="仿宋" w:hAnsi="仿宋" w:eastAsia="仿宋" w:cs="仿宋"/>
          <w:spacing w:val="8"/>
          <w:sz w:val="29"/>
          <w:szCs w:val="29"/>
          <w:lang w:eastAsia="zh-CN"/>
        </w:rPr>
        <w:t>中共中央办公厅、国务院办公厅2020年9月印发了《关于调整完善土地出让收入使用范围优先支持乡村振兴的意见》，明确到“十四五”期末，土地出让收益用于农业农村比例达到50%以上。按照广东省制定的方案，深圳市2021年土地出让收益用于农业农村支出比例不得低于25%，2022年不低于30%，2023年不低于35%，2024年不低于40%，2025年不低于50%。2022年度深圳全市土地出让收益985亿元，可用于农业农村支出的经费296亿元。</w:t>
      </w:r>
      <w:r>
        <w:rPr>
          <w:rFonts w:hint="eastAsia" w:ascii="仿宋" w:hAnsi="仿宋" w:eastAsia="仿宋" w:cs="仿宋"/>
          <w:spacing w:val="8"/>
          <w:sz w:val="29"/>
          <w:szCs w:val="29"/>
          <w:lang w:val="en-US" w:eastAsia="zh-CN"/>
        </w:rPr>
        <w:t>由于</w:t>
      </w:r>
      <w:r>
        <w:rPr>
          <w:rFonts w:hint="eastAsia" w:ascii="仿宋" w:hAnsi="仿宋" w:eastAsia="仿宋" w:cs="仿宋"/>
          <w:spacing w:val="8"/>
          <w:sz w:val="29"/>
          <w:szCs w:val="29"/>
          <w:lang w:eastAsia="zh-CN"/>
        </w:rPr>
        <w:t>《深圳市农业发展专项资金管理办法》</w:t>
      </w:r>
      <w:r>
        <w:rPr>
          <w:rFonts w:hint="eastAsia" w:ascii="仿宋" w:hAnsi="仿宋" w:eastAsia="仿宋" w:cs="仿宋"/>
          <w:spacing w:val="8"/>
          <w:sz w:val="29"/>
          <w:szCs w:val="29"/>
          <w:lang w:val="en-US" w:eastAsia="zh-CN"/>
        </w:rPr>
        <w:t>即</w:t>
      </w:r>
      <w:r>
        <w:rPr>
          <w:rFonts w:hint="eastAsia" w:ascii="仿宋" w:hAnsi="仿宋" w:eastAsia="仿宋" w:cs="仿宋"/>
          <w:spacing w:val="8"/>
          <w:sz w:val="29"/>
          <w:szCs w:val="29"/>
          <w:lang w:eastAsia="zh-CN"/>
        </w:rPr>
        <w:t>将过期，对应操作规程需重新编制，</w:t>
      </w:r>
      <w:r>
        <w:rPr>
          <w:rFonts w:hint="eastAsia" w:ascii="仿宋" w:hAnsi="仿宋" w:eastAsia="仿宋" w:cs="仿宋"/>
          <w:spacing w:val="8"/>
          <w:sz w:val="29"/>
          <w:szCs w:val="29"/>
          <w:lang w:val="en-US" w:eastAsia="zh-CN"/>
        </w:rPr>
        <w:t>为</w:t>
      </w:r>
      <w:r>
        <w:rPr>
          <w:rFonts w:hint="eastAsia" w:ascii="仿宋" w:hAnsi="仿宋" w:eastAsia="仿宋" w:cs="仿宋"/>
          <w:spacing w:val="8"/>
          <w:sz w:val="29"/>
          <w:szCs w:val="29"/>
          <w:lang w:eastAsia="zh-CN"/>
        </w:rPr>
        <w:t>整合全局专项资金，2020年3月深圳市市场监督管理局</w:t>
      </w:r>
      <w:r>
        <w:rPr>
          <w:rFonts w:hint="eastAsia" w:ascii="仿宋" w:hAnsi="仿宋" w:eastAsia="仿宋" w:cs="仿宋"/>
          <w:spacing w:val="8"/>
          <w:sz w:val="29"/>
          <w:szCs w:val="29"/>
          <w:lang w:val="en-US" w:eastAsia="zh-CN"/>
        </w:rPr>
        <w:t>和</w:t>
      </w:r>
      <w:r>
        <w:rPr>
          <w:rFonts w:hint="eastAsia" w:ascii="仿宋" w:hAnsi="仿宋" w:eastAsia="仿宋" w:cs="仿宋"/>
          <w:spacing w:val="8"/>
          <w:sz w:val="29"/>
          <w:szCs w:val="29"/>
          <w:lang w:eastAsia="zh-CN"/>
        </w:rPr>
        <w:t>深圳市财政局出台《深圳市市场监督管理局专项资金管理办法》。</w:t>
      </w:r>
      <w:r>
        <w:rPr>
          <w:rFonts w:hint="eastAsia" w:ascii="仿宋" w:hAnsi="仿宋" w:eastAsia="仿宋" w:cs="仿宋"/>
          <w:spacing w:val="8"/>
          <w:sz w:val="29"/>
          <w:szCs w:val="29"/>
          <w:lang w:val="en-US" w:eastAsia="zh-CN"/>
        </w:rPr>
        <w:t>依</w:t>
      </w:r>
      <w:r>
        <w:rPr>
          <w:rFonts w:hint="eastAsia" w:ascii="仿宋" w:hAnsi="仿宋" w:eastAsia="仿宋" w:cs="仿宋"/>
          <w:spacing w:val="8"/>
          <w:sz w:val="29"/>
          <w:szCs w:val="29"/>
          <w:lang w:eastAsia="zh-CN"/>
        </w:rPr>
        <w:t>市财政改革原则要求，一个单位原则上只能有一套专项资金管理办法，</w:t>
      </w:r>
      <w:r>
        <w:rPr>
          <w:rFonts w:hint="eastAsia" w:ascii="仿宋" w:hAnsi="仿宋" w:eastAsia="仿宋" w:cs="仿宋"/>
          <w:spacing w:val="8"/>
          <w:sz w:val="29"/>
          <w:szCs w:val="29"/>
          <w:lang w:val="en-US" w:eastAsia="zh-CN"/>
        </w:rPr>
        <w:t>因此</w:t>
      </w:r>
      <w:r>
        <w:rPr>
          <w:rFonts w:hint="eastAsia" w:ascii="仿宋" w:hAnsi="仿宋" w:eastAsia="仿宋" w:cs="仿宋"/>
          <w:spacing w:val="8"/>
          <w:sz w:val="29"/>
          <w:szCs w:val="29"/>
          <w:lang w:eastAsia="zh-CN"/>
        </w:rPr>
        <w:t>旧的农业专项资金管理办法过期后，不可制定新的农业领域资金管理办法，市场监管局专项资金管理办法将成为农业扶持政策的重要依据，农业发展专项资金政策制定时间紧迫。</w:t>
      </w:r>
    </w:p>
    <w:p>
      <w:pPr>
        <w:spacing w:before="95" w:line="382" w:lineRule="auto"/>
        <w:ind w:left="74" w:right="216" w:firstLine="570"/>
        <w:jc w:val="both"/>
        <w:rPr>
          <w:rFonts w:hint="eastAsia" w:ascii="仿宋" w:hAnsi="仿宋" w:eastAsia="仿宋" w:cs="仿宋"/>
          <w:spacing w:val="8"/>
          <w:sz w:val="29"/>
          <w:szCs w:val="29"/>
          <w:lang w:eastAsia="zh-CN"/>
        </w:rPr>
      </w:pPr>
      <w:r>
        <w:rPr>
          <w:rFonts w:hint="eastAsia" w:ascii="仿宋" w:hAnsi="仿宋" w:eastAsia="仿宋" w:cs="仿宋"/>
          <w:spacing w:val="8"/>
          <w:sz w:val="29"/>
          <w:szCs w:val="29"/>
          <w:lang w:eastAsia="zh-CN"/>
        </w:rPr>
        <w:t>2019年12月，市委市政府印发《深圳市推进乡村振兴战略实施意见(2019-2020)》，在保障措施中提出“设立农业食品发展专项资金”。2021年12月，市财政局印发《深圳市涉农资金统筹整合管理办法》，明确指定市监局牵头负责农业产业发展类涉农资金。</w:t>
      </w:r>
      <w:r>
        <w:rPr>
          <w:rFonts w:hint="eastAsia" w:ascii="仿宋" w:hAnsi="仿宋" w:eastAsia="仿宋" w:cs="仿宋"/>
          <w:spacing w:val="8"/>
          <w:sz w:val="29"/>
          <w:szCs w:val="29"/>
          <w:lang w:val="en-US" w:eastAsia="zh-CN"/>
        </w:rPr>
        <w:t>该</w:t>
      </w:r>
      <w:r>
        <w:rPr>
          <w:rFonts w:hint="eastAsia" w:ascii="仿宋" w:hAnsi="仿宋" w:eastAsia="仿宋" w:cs="仿宋"/>
          <w:spacing w:val="8"/>
          <w:sz w:val="29"/>
          <w:szCs w:val="29"/>
          <w:lang w:eastAsia="zh-CN"/>
        </w:rPr>
        <w:t>专项资金在农业产业发展类专项资金范围的基础上，根据《农业及相关产业统计分类(2020)》对农业及畜牧业领域相关产业的规定范围，针对休闲观光、食用加工制造、教育培训服务等未列入农业产业发展类专项资金范围的产业领域进行拓展细化，形成《若干措施》。</w:t>
      </w:r>
    </w:p>
    <w:p>
      <w:pPr>
        <w:spacing w:line="335" w:lineRule="auto"/>
        <w:rPr>
          <w:rFonts w:ascii="Arial"/>
          <w:sz w:val="21"/>
        </w:rPr>
      </w:pPr>
    </w:p>
    <w:p>
      <w:pPr>
        <w:spacing w:before="94" w:line="222" w:lineRule="auto"/>
        <w:ind w:left="914"/>
        <w:outlineLvl w:val="2"/>
        <w:rPr>
          <w:rFonts w:ascii="黑体" w:hAnsi="黑体" w:eastAsia="黑体" w:cs="黑体"/>
          <w:sz w:val="29"/>
          <w:szCs w:val="29"/>
        </w:rPr>
      </w:pPr>
      <w:bookmarkStart w:id="4" w:name="_Toc30248"/>
      <w:r>
        <w:rPr>
          <w:rFonts w:ascii="黑体" w:hAnsi="黑体" w:eastAsia="黑体" w:cs="黑体"/>
          <w:b/>
          <w:bCs/>
          <w:spacing w:val="6"/>
          <w:sz w:val="29"/>
          <w:szCs w:val="29"/>
        </w:rPr>
        <w:t>(三)评估事项制定过程</w:t>
      </w:r>
      <w:bookmarkEnd w:id="4"/>
    </w:p>
    <w:p>
      <w:pPr>
        <w:spacing w:line="317" w:lineRule="auto"/>
        <w:rPr>
          <w:rFonts w:ascii="Arial"/>
          <w:sz w:val="21"/>
        </w:rPr>
      </w:pPr>
    </w:p>
    <w:p>
      <w:pPr>
        <w:spacing w:before="95" w:line="382" w:lineRule="auto"/>
        <w:ind w:left="199" w:right="316" w:firstLine="565"/>
        <w:jc w:val="both"/>
        <w:rPr>
          <w:rFonts w:hint="eastAsia" w:ascii="仿宋" w:hAnsi="仿宋" w:eastAsia="仿宋" w:cs="仿宋"/>
          <w:spacing w:val="-2"/>
          <w:sz w:val="29"/>
          <w:szCs w:val="29"/>
        </w:rPr>
      </w:pPr>
      <w:r>
        <w:rPr>
          <w:rFonts w:hint="eastAsia" w:ascii="仿宋" w:hAnsi="仿宋" w:eastAsia="仿宋" w:cs="仿宋"/>
          <w:spacing w:val="-5"/>
          <w:sz w:val="29"/>
          <w:szCs w:val="29"/>
          <w:lang w:eastAsia="zh-CN"/>
        </w:rPr>
        <w:t>2021年11月，</w:t>
      </w:r>
      <w:r>
        <w:rPr>
          <w:rFonts w:hint="eastAsia" w:ascii="仿宋" w:hAnsi="仿宋" w:eastAsia="仿宋" w:cs="仿宋"/>
          <w:spacing w:val="-5"/>
          <w:sz w:val="29"/>
          <w:szCs w:val="29"/>
          <w:lang w:val="en-US" w:eastAsia="zh-CN"/>
        </w:rPr>
        <w:t>深圳市市场监督管理局</w:t>
      </w:r>
      <w:r>
        <w:rPr>
          <w:rFonts w:hint="eastAsia" w:ascii="仿宋" w:hAnsi="仿宋" w:eastAsia="仿宋" w:cs="仿宋"/>
          <w:spacing w:val="-5"/>
          <w:sz w:val="29"/>
          <w:szCs w:val="29"/>
          <w:lang w:eastAsia="zh-CN"/>
        </w:rPr>
        <w:t>开始推动《若干措施》以及操作规程的系统农业政策框架的研究起草工作，</w:t>
      </w:r>
      <w:r>
        <w:rPr>
          <w:rFonts w:ascii="仿宋" w:hAnsi="仿宋" w:eastAsia="仿宋" w:cs="仿宋"/>
          <w:spacing w:val="-5"/>
          <w:sz w:val="29"/>
          <w:szCs w:val="29"/>
        </w:rPr>
        <w:t>历经</w:t>
      </w:r>
      <w:r>
        <w:rPr>
          <w:rFonts w:ascii="仿宋" w:hAnsi="仿宋" w:eastAsia="仿宋" w:cs="仿宋"/>
          <w:spacing w:val="-4"/>
          <w:sz w:val="29"/>
          <w:szCs w:val="29"/>
        </w:rPr>
        <w:t>内部</w:t>
      </w:r>
      <w:r>
        <w:rPr>
          <w:rFonts w:hint="eastAsia" w:ascii="仿宋" w:hAnsi="仿宋" w:eastAsia="仿宋" w:cs="仿宋"/>
          <w:spacing w:val="-4"/>
          <w:sz w:val="29"/>
          <w:szCs w:val="29"/>
          <w:lang w:val="en-US" w:eastAsia="zh-CN"/>
        </w:rPr>
        <w:t>及外部单位</w:t>
      </w:r>
      <w:r>
        <w:rPr>
          <w:rFonts w:ascii="仿宋" w:hAnsi="仿宋" w:eastAsia="仿宋" w:cs="仿宋"/>
          <w:spacing w:val="-4"/>
          <w:sz w:val="29"/>
          <w:szCs w:val="29"/>
        </w:rPr>
        <w:t>意见征求阶段、社会公众公开征求意见阶段、专家论证阶段</w:t>
      </w:r>
      <w:r>
        <w:rPr>
          <w:rFonts w:ascii="仿宋" w:hAnsi="仿宋" w:eastAsia="仿宋" w:cs="仿宋"/>
          <w:spacing w:val="-2"/>
          <w:sz w:val="29"/>
          <w:szCs w:val="29"/>
        </w:rPr>
        <w:t>等过程。</w:t>
      </w:r>
      <w:r>
        <w:rPr>
          <w:rFonts w:hint="eastAsia" w:ascii="仿宋" w:hAnsi="仿宋" w:eastAsia="仿宋" w:cs="仿宋"/>
          <w:spacing w:val="-2"/>
          <w:sz w:val="29"/>
          <w:szCs w:val="29"/>
        </w:rPr>
        <w:t>主要工作措施如下：</w:t>
      </w:r>
    </w:p>
    <w:p>
      <w:pPr>
        <w:spacing w:before="95" w:line="382" w:lineRule="auto"/>
        <w:ind w:left="199" w:right="316" w:firstLine="565"/>
        <w:jc w:val="both"/>
        <w:rPr>
          <w:rFonts w:hint="eastAsia" w:ascii="仿宋" w:hAnsi="仿宋" w:eastAsia="仿宋" w:cs="仿宋"/>
          <w:spacing w:val="-2"/>
          <w:sz w:val="29"/>
          <w:szCs w:val="29"/>
        </w:rPr>
      </w:pPr>
      <w:r>
        <w:rPr>
          <w:rFonts w:hint="eastAsia" w:ascii="仿宋" w:hAnsi="仿宋" w:eastAsia="仿宋" w:cs="仿宋"/>
          <w:spacing w:val="-2"/>
          <w:sz w:val="29"/>
          <w:szCs w:val="29"/>
          <w:lang w:val="en-US" w:eastAsia="zh-CN"/>
        </w:rPr>
        <w:t>1.政策梳理整理。</w:t>
      </w:r>
      <w:r>
        <w:rPr>
          <w:rFonts w:hint="eastAsia" w:ascii="仿宋" w:hAnsi="仿宋" w:eastAsia="仿宋" w:cs="仿宋"/>
          <w:spacing w:val="-2"/>
          <w:sz w:val="29"/>
          <w:szCs w:val="29"/>
        </w:rPr>
        <w:t>全面研究现代农业发展背景，梳理分析国家、省、市多份政策文件。着重研究国际组织以及专业研究机构近5年发布的行业白皮书、行业报告、文献资料等报告，学习农业发展的国际先进经验。同时，开展国家、省、市近年农业产业相关政策梳理工作，厘清其产业政策导向、发展思路、政策举措，并对标参考北京、上海、广州等国内各大城市农业产业发展政策，构建形成农业政策基础工具库。</w:t>
      </w:r>
    </w:p>
    <w:p>
      <w:pPr>
        <w:spacing w:before="95" w:line="382" w:lineRule="auto"/>
        <w:ind w:left="199" w:right="316" w:firstLine="565"/>
        <w:jc w:val="both"/>
        <w:rPr>
          <w:rFonts w:hint="eastAsia" w:ascii="仿宋" w:hAnsi="仿宋" w:eastAsia="仿宋" w:cs="仿宋"/>
          <w:spacing w:val="-2"/>
          <w:sz w:val="29"/>
          <w:szCs w:val="29"/>
        </w:rPr>
      </w:pPr>
      <w:r>
        <w:rPr>
          <w:rFonts w:hint="eastAsia" w:ascii="仿宋" w:hAnsi="仿宋" w:eastAsia="仿宋" w:cs="仿宋"/>
          <w:spacing w:val="-2"/>
          <w:sz w:val="29"/>
          <w:szCs w:val="29"/>
          <w:lang w:val="en-US" w:eastAsia="zh-CN"/>
        </w:rPr>
        <w:t>2.广泛社会</w:t>
      </w:r>
      <w:r>
        <w:rPr>
          <w:rFonts w:hint="eastAsia" w:ascii="仿宋" w:hAnsi="仿宋" w:eastAsia="仿宋" w:cs="仿宋"/>
          <w:spacing w:val="-2"/>
          <w:sz w:val="29"/>
          <w:szCs w:val="29"/>
        </w:rPr>
        <w:t>调研</w:t>
      </w:r>
      <w:r>
        <w:rPr>
          <w:rFonts w:hint="eastAsia" w:ascii="仿宋" w:hAnsi="仿宋" w:eastAsia="仿宋" w:cs="仿宋"/>
          <w:spacing w:val="-2"/>
          <w:sz w:val="29"/>
          <w:szCs w:val="29"/>
          <w:lang w:eastAsia="zh-CN"/>
        </w:rPr>
        <w:t>。</w:t>
      </w:r>
      <w:r>
        <w:rPr>
          <w:rFonts w:hint="eastAsia" w:ascii="仿宋" w:hAnsi="仿宋" w:eastAsia="仿宋" w:cs="仿宋"/>
          <w:spacing w:val="-2"/>
          <w:sz w:val="29"/>
          <w:szCs w:val="29"/>
        </w:rPr>
        <w:t>了解深圳农业企业发展情况及政策需求。基于现有农业企业运行现状、产业运营绩效等数据，摸清深圳市农业产业链结构及农业产业发展的特点。同时，我局邀请诺普信、隆平金谷种业、创世纪种业、百果园等深圳农业龙头企业代表以开展龙头企业座谈会，了解企业发展存在的问题及政策诉求。结合深圳现代农业产业发展现状以及调研问卷、座谈会、现场调研、电话访谈等企业需求调研结果，研究起草《若干措施》（初稿）。</w:t>
      </w:r>
    </w:p>
    <w:p>
      <w:pPr>
        <w:spacing w:before="95" w:line="382" w:lineRule="auto"/>
        <w:ind w:left="199" w:right="316" w:firstLine="565"/>
        <w:jc w:val="both"/>
        <w:rPr>
          <w:rFonts w:hint="eastAsia" w:ascii="仿宋" w:hAnsi="仿宋" w:eastAsia="仿宋" w:cs="仿宋"/>
          <w:spacing w:val="-2"/>
          <w:sz w:val="29"/>
          <w:szCs w:val="29"/>
        </w:rPr>
      </w:pPr>
      <w:r>
        <w:rPr>
          <w:rFonts w:hint="eastAsia" w:ascii="仿宋" w:hAnsi="仿宋" w:eastAsia="仿宋" w:cs="仿宋"/>
          <w:spacing w:val="-2"/>
          <w:sz w:val="29"/>
          <w:szCs w:val="29"/>
          <w:lang w:val="en-US" w:eastAsia="zh-CN"/>
        </w:rPr>
        <w:t>3.征求意见并综合采纳。</w:t>
      </w:r>
      <w:r>
        <w:rPr>
          <w:rFonts w:hint="eastAsia" w:ascii="仿宋" w:hAnsi="仿宋" w:eastAsia="仿宋" w:cs="仿宋"/>
          <w:spacing w:val="-2"/>
          <w:sz w:val="29"/>
          <w:szCs w:val="29"/>
        </w:rPr>
        <w:t>全面征求意见，提高政策措施科学性。政策制定研究期间，</w:t>
      </w:r>
      <w:r>
        <w:rPr>
          <w:rFonts w:hint="eastAsia" w:ascii="仿宋" w:hAnsi="仿宋" w:eastAsia="仿宋" w:cs="仿宋"/>
          <w:spacing w:val="-5"/>
          <w:sz w:val="29"/>
          <w:szCs w:val="29"/>
          <w:lang w:val="en-US" w:eastAsia="zh-CN"/>
        </w:rPr>
        <w:t>深圳市市场监督管理局</w:t>
      </w:r>
      <w:r>
        <w:rPr>
          <w:rFonts w:hint="eastAsia" w:ascii="仿宋" w:hAnsi="仿宋" w:eastAsia="仿宋" w:cs="仿宋"/>
          <w:spacing w:val="-2"/>
          <w:sz w:val="29"/>
          <w:szCs w:val="29"/>
        </w:rPr>
        <w:t>以分享交流会形式，汇集各部门需求、工作计划等并研究修改完善。2022年7月，</w:t>
      </w:r>
      <w:r>
        <w:rPr>
          <w:rFonts w:hint="eastAsia" w:ascii="仿宋" w:hAnsi="仿宋" w:eastAsia="仿宋" w:cs="仿宋"/>
          <w:spacing w:val="-5"/>
          <w:sz w:val="29"/>
          <w:szCs w:val="29"/>
          <w:lang w:val="en-US" w:eastAsia="zh-CN"/>
        </w:rPr>
        <w:t>深圳市市场监督管理局</w:t>
      </w:r>
      <w:r>
        <w:rPr>
          <w:rFonts w:hint="eastAsia" w:ascii="仿宋" w:hAnsi="仿宋" w:eastAsia="仿宋" w:cs="仿宋"/>
          <w:spacing w:val="-2"/>
          <w:sz w:val="29"/>
          <w:szCs w:val="29"/>
        </w:rPr>
        <w:t>编制形成《若干措施》（征求意见稿），通过座谈、专家论证会等多种形式积极听取农业企业、协会及相关机构的意见。2022年7月，</w:t>
      </w:r>
      <w:r>
        <w:rPr>
          <w:rFonts w:hint="eastAsia" w:ascii="仿宋" w:hAnsi="仿宋" w:eastAsia="仿宋" w:cs="仿宋"/>
          <w:spacing w:val="-5"/>
          <w:sz w:val="29"/>
          <w:szCs w:val="29"/>
          <w:lang w:val="en-US" w:eastAsia="zh-CN"/>
        </w:rPr>
        <w:t>深圳市市场监督管理局</w:t>
      </w:r>
      <w:r>
        <w:rPr>
          <w:rFonts w:hint="eastAsia" w:ascii="仿宋" w:hAnsi="仿宋" w:eastAsia="仿宋" w:cs="仿宋"/>
          <w:spacing w:val="-2"/>
          <w:sz w:val="29"/>
          <w:szCs w:val="29"/>
        </w:rPr>
        <w:t>向30个单位征求意见，共收到市发展改革委、市教育局、市科技创新委等11个单位反馈意见11条，其余19家单位未反馈修改意见</w:t>
      </w:r>
      <w:r>
        <w:rPr>
          <w:rFonts w:hint="eastAsia" w:ascii="仿宋" w:hAnsi="仿宋" w:eastAsia="仿宋" w:cs="仿宋"/>
          <w:spacing w:val="-2"/>
          <w:sz w:val="29"/>
          <w:szCs w:val="29"/>
          <w:lang w:eastAsia="zh-CN"/>
        </w:rPr>
        <w:t>，</w:t>
      </w:r>
      <w:r>
        <w:rPr>
          <w:rFonts w:hint="eastAsia" w:ascii="仿宋" w:hAnsi="仿宋" w:eastAsia="仿宋" w:cs="仿宋"/>
          <w:spacing w:val="-2"/>
          <w:sz w:val="29"/>
          <w:szCs w:val="29"/>
        </w:rPr>
        <w:t>经研究论证后，采纳意见8条，解释说明3条</w:t>
      </w:r>
      <w:r>
        <w:rPr>
          <w:rFonts w:hint="eastAsia" w:ascii="仿宋" w:hAnsi="仿宋" w:eastAsia="仿宋" w:cs="仿宋"/>
          <w:spacing w:val="-2"/>
          <w:sz w:val="29"/>
          <w:szCs w:val="29"/>
          <w:lang w:eastAsia="zh-CN"/>
        </w:rPr>
        <w:t>；</w:t>
      </w:r>
      <w:r>
        <w:rPr>
          <w:rFonts w:hint="eastAsia" w:ascii="仿宋" w:hAnsi="仿宋" w:eastAsia="仿宋" w:cs="仿宋"/>
          <w:spacing w:val="-2"/>
          <w:sz w:val="29"/>
          <w:szCs w:val="29"/>
        </w:rPr>
        <w:t>2022年</w:t>
      </w:r>
      <w:r>
        <w:rPr>
          <w:rFonts w:hint="eastAsia" w:ascii="仿宋" w:hAnsi="仿宋" w:eastAsia="仿宋" w:cs="仿宋"/>
          <w:spacing w:val="-2"/>
          <w:sz w:val="29"/>
          <w:szCs w:val="29"/>
          <w:lang w:val="en-US" w:eastAsia="zh-CN"/>
        </w:rPr>
        <w:t>10</w:t>
      </w:r>
      <w:r>
        <w:rPr>
          <w:rFonts w:hint="eastAsia" w:ascii="仿宋" w:hAnsi="仿宋" w:eastAsia="仿宋" w:cs="仿宋"/>
          <w:spacing w:val="-2"/>
          <w:sz w:val="29"/>
          <w:szCs w:val="29"/>
        </w:rPr>
        <w:t>月，</w:t>
      </w:r>
      <w:r>
        <w:rPr>
          <w:rFonts w:hint="eastAsia" w:ascii="仿宋" w:hAnsi="仿宋" w:eastAsia="仿宋" w:cs="仿宋"/>
          <w:spacing w:val="-5"/>
          <w:sz w:val="29"/>
          <w:szCs w:val="29"/>
          <w:lang w:val="en-US" w:eastAsia="zh-CN"/>
        </w:rPr>
        <w:t>深圳市市场监督管理局</w:t>
      </w:r>
      <w:r>
        <w:rPr>
          <w:rFonts w:hint="eastAsia" w:ascii="仿宋" w:hAnsi="仿宋" w:eastAsia="仿宋" w:cs="仿宋"/>
          <w:spacing w:val="-2"/>
          <w:sz w:val="29"/>
          <w:szCs w:val="29"/>
        </w:rPr>
        <w:t>向</w:t>
      </w:r>
      <w:r>
        <w:rPr>
          <w:rFonts w:hint="eastAsia" w:ascii="仿宋" w:hAnsi="仿宋" w:eastAsia="仿宋" w:cs="仿宋"/>
          <w:spacing w:val="-2"/>
          <w:sz w:val="29"/>
          <w:szCs w:val="29"/>
          <w:lang w:val="en-US" w:eastAsia="zh-CN"/>
        </w:rPr>
        <w:t>30</w:t>
      </w:r>
      <w:r>
        <w:rPr>
          <w:rFonts w:hint="eastAsia" w:ascii="仿宋" w:hAnsi="仿宋" w:eastAsia="仿宋" w:cs="仿宋"/>
          <w:spacing w:val="-2"/>
          <w:sz w:val="29"/>
          <w:szCs w:val="29"/>
        </w:rPr>
        <w:t>个</w:t>
      </w:r>
      <w:r>
        <w:rPr>
          <w:rFonts w:hint="eastAsia" w:ascii="仿宋" w:hAnsi="仿宋" w:eastAsia="仿宋" w:cs="仿宋"/>
          <w:spacing w:val="-2"/>
          <w:sz w:val="29"/>
          <w:szCs w:val="29"/>
          <w:lang w:val="en-US" w:eastAsia="zh-CN"/>
        </w:rPr>
        <w:t>单位</w:t>
      </w:r>
      <w:r>
        <w:rPr>
          <w:rFonts w:hint="eastAsia" w:ascii="仿宋" w:hAnsi="仿宋" w:eastAsia="仿宋" w:cs="仿宋"/>
          <w:spacing w:val="-2"/>
          <w:sz w:val="29"/>
          <w:szCs w:val="29"/>
        </w:rPr>
        <w:t>征求意见，共收到</w:t>
      </w:r>
      <w:r>
        <w:rPr>
          <w:rFonts w:hint="eastAsia" w:ascii="仿宋" w:hAnsi="仿宋" w:eastAsia="仿宋" w:cs="仿宋"/>
          <w:spacing w:val="-2"/>
          <w:sz w:val="29"/>
          <w:szCs w:val="29"/>
          <w:lang w:eastAsia="zh-CN"/>
        </w:rPr>
        <w:t>深汕特别合作区</w:t>
      </w:r>
      <w:r>
        <w:rPr>
          <w:rFonts w:hint="eastAsia" w:ascii="仿宋" w:hAnsi="仿宋" w:eastAsia="仿宋" w:cs="仿宋"/>
          <w:spacing w:val="-2"/>
          <w:sz w:val="29"/>
          <w:szCs w:val="29"/>
          <w:lang w:val="en-US" w:eastAsia="zh-CN"/>
        </w:rPr>
        <w:t>等1</w:t>
      </w:r>
      <w:r>
        <w:rPr>
          <w:rFonts w:hint="eastAsia" w:ascii="仿宋" w:hAnsi="仿宋" w:eastAsia="仿宋" w:cs="仿宋"/>
          <w:spacing w:val="-2"/>
          <w:sz w:val="29"/>
          <w:szCs w:val="29"/>
        </w:rPr>
        <w:t>家单位反馈意见</w:t>
      </w:r>
      <w:r>
        <w:rPr>
          <w:rFonts w:hint="eastAsia" w:ascii="仿宋" w:hAnsi="仿宋" w:eastAsia="仿宋" w:cs="仿宋"/>
          <w:spacing w:val="-2"/>
          <w:sz w:val="29"/>
          <w:szCs w:val="29"/>
          <w:lang w:val="en-US" w:eastAsia="zh-CN"/>
        </w:rPr>
        <w:t>1</w:t>
      </w:r>
      <w:r>
        <w:rPr>
          <w:rFonts w:hint="eastAsia" w:ascii="仿宋" w:hAnsi="仿宋" w:eastAsia="仿宋" w:cs="仿宋"/>
          <w:spacing w:val="-2"/>
          <w:sz w:val="29"/>
          <w:szCs w:val="29"/>
        </w:rPr>
        <w:t>条，其余2</w:t>
      </w:r>
      <w:r>
        <w:rPr>
          <w:rFonts w:hint="eastAsia" w:ascii="仿宋" w:hAnsi="仿宋" w:eastAsia="仿宋" w:cs="仿宋"/>
          <w:spacing w:val="-2"/>
          <w:sz w:val="29"/>
          <w:szCs w:val="29"/>
          <w:lang w:val="en-US" w:eastAsia="zh-CN"/>
        </w:rPr>
        <w:t>9</w:t>
      </w:r>
      <w:r>
        <w:rPr>
          <w:rFonts w:hint="eastAsia" w:ascii="仿宋" w:hAnsi="仿宋" w:eastAsia="仿宋" w:cs="仿宋"/>
          <w:spacing w:val="-2"/>
          <w:sz w:val="29"/>
          <w:szCs w:val="29"/>
        </w:rPr>
        <w:t>家单位</w:t>
      </w:r>
      <w:r>
        <w:rPr>
          <w:rFonts w:hint="eastAsia" w:ascii="仿宋" w:hAnsi="仿宋" w:eastAsia="仿宋" w:cs="仿宋"/>
          <w:spacing w:val="-2"/>
          <w:sz w:val="29"/>
          <w:szCs w:val="29"/>
          <w:lang w:val="en-US" w:eastAsia="zh-CN"/>
        </w:rPr>
        <w:t>未</w:t>
      </w:r>
      <w:r>
        <w:rPr>
          <w:rFonts w:hint="eastAsia" w:ascii="仿宋" w:hAnsi="仿宋" w:eastAsia="仿宋" w:cs="仿宋"/>
          <w:spacing w:val="-2"/>
          <w:sz w:val="29"/>
          <w:szCs w:val="29"/>
        </w:rPr>
        <w:t>反馈</w:t>
      </w:r>
      <w:r>
        <w:rPr>
          <w:rFonts w:hint="eastAsia" w:ascii="仿宋" w:hAnsi="仿宋" w:eastAsia="仿宋" w:cs="仿宋"/>
          <w:spacing w:val="-2"/>
          <w:sz w:val="29"/>
          <w:szCs w:val="29"/>
          <w:lang w:val="en-US" w:eastAsia="zh-CN"/>
        </w:rPr>
        <w:t>修改</w:t>
      </w:r>
      <w:r>
        <w:rPr>
          <w:rFonts w:hint="eastAsia" w:ascii="仿宋" w:hAnsi="仿宋" w:eastAsia="仿宋" w:cs="仿宋"/>
          <w:spacing w:val="-2"/>
          <w:sz w:val="29"/>
          <w:szCs w:val="29"/>
        </w:rPr>
        <w:t>意见</w:t>
      </w:r>
      <w:r>
        <w:rPr>
          <w:rFonts w:hint="eastAsia" w:ascii="仿宋" w:hAnsi="仿宋" w:eastAsia="仿宋" w:cs="仿宋"/>
          <w:spacing w:val="-2"/>
          <w:sz w:val="29"/>
          <w:szCs w:val="29"/>
          <w:lang w:eastAsia="zh-CN"/>
        </w:rPr>
        <w:t>，</w:t>
      </w:r>
      <w:r>
        <w:rPr>
          <w:rFonts w:hint="eastAsia" w:ascii="仿宋" w:hAnsi="仿宋" w:eastAsia="仿宋" w:cs="仿宋"/>
          <w:spacing w:val="-2"/>
          <w:sz w:val="29"/>
          <w:szCs w:val="29"/>
        </w:rPr>
        <w:t>经研究论证后，</w:t>
      </w:r>
      <w:r>
        <w:rPr>
          <w:rFonts w:hint="eastAsia" w:ascii="仿宋" w:hAnsi="仿宋" w:eastAsia="仿宋" w:cs="仿宋"/>
          <w:spacing w:val="-2"/>
          <w:sz w:val="29"/>
          <w:szCs w:val="29"/>
          <w:lang w:val="en-US" w:eastAsia="zh-CN"/>
        </w:rPr>
        <w:t>解释说明1条；</w:t>
      </w:r>
      <w:r>
        <w:rPr>
          <w:rFonts w:hint="eastAsia" w:ascii="仿宋" w:hAnsi="仿宋" w:eastAsia="仿宋" w:cs="仿宋"/>
          <w:spacing w:val="-2"/>
          <w:sz w:val="29"/>
          <w:szCs w:val="29"/>
        </w:rPr>
        <w:t>202</w:t>
      </w:r>
      <w:r>
        <w:rPr>
          <w:rFonts w:hint="eastAsia" w:ascii="仿宋" w:hAnsi="仿宋" w:eastAsia="仿宋" w:cs="仿宋"/>
          <w:spacing w:val="-2"/>
          <w:sz w:val="29"/>
          <w:szCs w:val="29"/>
          <w:lang w:val="en-US" w:eastAsia="zh-CN"/>
        </w:rPr>
        <w:t>3</w:t>
      </w:r>
      <w:r>
        <w:rPr>
          <w:rFonts w:hint="eastAsia" w:ascii="仿宋" w:hAnsi="仿宋" w:eastAsia="仿宋" w:cs="仿宋"/>
          <w:spacing w:val="-2"/>
          <w:sz w:val="29"/>
          <w:szCs w:val="29"/>
        </w:rPr>
        <w:t>年</w:t>
      </w:r>
      <w:r>
        <w:rPr>
          <w:rFonts w:hint="eastAsia" w:ascii="仿宋" w:hAnsi="仿宋" w:eastAsia="仿宋" w:cs="仿宋"/>
          <w:spacing w:val="-2"/>
          <w:sz w:val="29"/>
          <w:szCs w:val="29"/>
          <w:lang w:val="en-US" w:eastAsia="zh-CN"/>
        </w:rPr>
        <w:t>3</w:t>
      </w:r>
      <w:r>
        <w:rPr>
          <w:rFonts w:hint="eastAsia" w:ascii="仿宋" w:hAnsi="仿宋" w:eastAsia="仿宋" w:cs="仿宋"/>
          <w:spacing w:val="-2"/>
          <w:sz w:val="29"/>
          <w:szCs w:val="29"/>
        </w:rPr>
        <w:t>月，</w:t>
      </w:r>
      <w:r>
        <w:rPr>
          <w:rFonts w:hint="eastAsia" w:ascii="仿宋" w:hAnsi="仿宋" w:eastAsia="仿宋" w:cs="仿宋"/>
          <w:spacing w:val="-5"/>
          <w:sz w:val="29"/>
          <w:szCs w:val="29"/>
          <w:lang w:val="en-US" w:eastAsia="zh-CN"/>
        </w:rPr>
        <w:t>深圳市市场监督管理局</w:t>
      </w:r>
      <w:r>
        <w:rPr>
          <w:rFonts w:hint="eastAsia" w:ascii="仿宋" w:hAnsi="仿宋" w:eastAsia="仿宋" w:cs="仿宋"/>
          <w:spacing w:val="-2"/>
          <w:sz w:val="29"/>
          <w:szCs w:val="29"/>
        </w:rPr>
        <w:t>向</w:t>
      </w:r>
      <w:r>
        <w:rPr>
          <w:rFonts w:hint="eastAsia" w:ascii="仿宋" w:hAnsi="仿宋" w:eastAsia="仿宋" w:cs="仿宋"/>
          <w:spacing w:val="-2"/>
          <w:sz w:val="29"/>
          <w:szCs w:val="29"/>
          <w:lang w:val="en-US" w:eastAsia="zh-CN"/>
        </w:rPr>
        <w:t>30个单位</w:t>
      </w:r>
      <w:r>
        <w:rPr>
          <w:rFonts w:hint="eastAsia" w:ascii="仿宋" w:hAnsi="仿宋" w:eastAsia="仿宋" w:cs="仿宋"/>
          <w:spacing w:val="-2"/>
          <w:sz w:val="29"/>
          <w:szCs w:val="29"/>
        </w:rPr>
        <w:t>征求意见，共收到</w:t>
      </w:r>
      <w:r>
        <w:rPr>
          <w:rFonts w:hint="eastAsia" w:ascii="仿宋" w:hAnsi="仿宋" w:eastAsia="仿宋" w:cs="仿宋"/>
          <w:spacing w:val="-2"/>
          <w:sz w:val="29"/>
          <w:szCs w:val="29"/>
          <w:lang w:eastAsia="zh-CN"/>
        </w:rPr>
        <w:t>市财政局、市生态环境局</w:t>
      </w:r>
      <w:r>
        <w:rPr>
          <w:rFonts w:hint="eastAsia" w:ascii="仿宋" w:hAnsi="仿宋" w:eastAsia="仿宋" w:cs="仿宋"/>
          <w:spacing w:val="-2"/>
          <w:sz w:val="29"/>
          <w:szCs w:val="29"/>
          <w:lang w:val="en-US" w:eastAsia="zh-CN"/>
        </w:rPr>
        <w:t>等2</w:t>
      </w:r>
      <w:r>
        <w:rPr>
          <w:rFonts w:hint="eastAsia" w:ascii="仿宋" w:hAnsi="仿宋" w:eastAsia="仿宋" w:cs="仿宋"/>
          <w:spacing w:val="-2"/>
          <w:sz w:val="29"/>
          <w:szCs w:val="29"/>
        </w:rPr>
        <w:t>家单位反馈意见</w:t>
      </w:r>
      <w:r>
        <w:rPr>
          <w:rFonts w:hint="eastAsia" w:ascii="仿宋" w:hAnsi="仿宋" w:eastAsia="仿宋" w:cs="仿宋"/>
          <w:spacing w:val="-2"/>
          <w:sz w:val="29"/>
          <w:szCs w:val="29"/>
          <w:lang w:val="en-US" w:eastAsia="zh-CN"/>
        </w:rPr>
        <w:t>11</w:t>
      </w:r>
      <w:r>
        <w:rPr>
          <w:rFonts w:hint="eastAsia" w:ascii="仿宋" w:hAnsi="仿宋" w:eastAsia="仿宋" w:cs="仿宋"/>
          <w:spacing w:val="-2"/>
          <w:sz w:val="29"/>
          <w:szCs w:val="29"/>
        </w:rPr>
        <w:t>条，其余</w:t>
      </w:r>
      <w:r>
        <w:rPr>
          <w:rFonts w:hint="eastAsia" w:ascii="仿宋" w:hAnsi="仿宋" w:eastAsia="仿宋" w:cs="仿宋"/>
          <w:spacing w:val="-2"/>
          <w:sz w:val="29"/>
          <w:szCs w:val="29"/>
          <w:lang w:val="en-US" w:eastAsia="zh-CN"/>
        </w:rPr>
        <w:t>28</w:t>
      </w:r>
      <w:r>
        <w:rPr>
          <w:rFonts w:hint="eastAsia" w:ascii="仿宋" w:hAnsi="仿宋" w:eastAsia="仿宋" w:cs="仿宋"/>
          <w:spacing w:val="-2"/>
          <w:sz w:val="29"/>
          <w:szCs w:val="29"/>
        </w:rPr>
        <w:t>家单位</w:t>
      </w:r>
      <w:r>
        <w:rPr>
          <w:rFonts w:hint="eastAsia" w:ascii="仿宋" w:hAnsi="仿宋" w:eastAsia="仿宋" w:cs="仿宋"/>
          <w:spacing w:val="-2"/>
          <w:sz w:val="29"/>
          <w:szCs w:val="29"/>
          <w:lang w:val="en-US" w:eastAsia="zh-CN"/>
        </w:rPr>
        <w:t>未</w:t>
      </w:r>
      <w:r>
        <w:rPr>
          <w:rFonts w:hint="eastAsia" w:ascii="仿宋" w:hAnsi="仿宋" w:eastAsia="仿宋" w:cs="仿宋"/>
          <w:spacing w:val="-2"/>
          <w:sz w:val="29"/>
          <w:szCs w:val="29"/>
        </w:rPr>
        <w:t>反馈</w:t>
      </w:r>
      <w:r>
        <w:rPr>
          <w:rFonts w:hint="eastAsia" w:ascii="仿宋" w:hAnsi="仿宋" w:eastAsia="仿宋" w:cs="仿宋"/>
          <w:spacing w:val="-2"/>
          <w:sz w:val="29"/>
          <w:szCs w:val="29"/>
          <w:lang w:val="en-US" w:eastAsia="zh-CN"/>
        </w:rPr>
        <w:t>修改</w:t>
      </w:r>
      <w:r>
        <w:rPr>
          <w:rFonts w:hint="eastAsia" w:ascii="仿宋" w:hAnsi="仿宋" w:eastAsia="仿宋" w:cs="仿宋"/>
          <w:spacing w:val="-2"/>
          <w:sz w:val="29"/>
          <w:szCs w:val="29"/>
        </w:rPr>
        <w:t>意见</w:t>
      </w:r>
      <w:r>
        <w:rPr>
          <w:rFonts w:hint="eastAsia" w:ascii="仿宋" w:hAnsi="仿宋" w:eastAsia="仿宋" w:cs="仿宋"/>
          <w:spacing w:val="-2"/>
          <w:sz w:val="29"/>
          <w:szCs w:val="29"/>
          <w:lang w:eastAsia="zh-CN"/>
        </w:rPr>
        <w:t>，</w:t>
      </w:r>
      <w:r>
        <w:rPr>
          <w:rFonts w:hint="eastAsia" w:ascii="仿宋" w:hAnsi="仿宋" w:eastAsia="仿宋" w:cs="仿宋"/>
          <w:spacing w:val="-2"/>
          <w:sz w:val="29"/>
          <w:szCs w:val="29"/>
        </w:rPr>
        <w:t>经研究论证后，采纳意见</w:t>
      </w:r>
      <w:r>
        <w:rPr>
          <w:rFonts w:hint="eastAsia" w:ascii="仿宋" w:hAnsi="仿宋" w:eastAsia="仿宋" w:cs="仿宋"/>
          <w:spacing w:val="-2"/>
          <w:sz w:val="29"/>
          <w:szCs w:val="29"/>
          <w:lang w:val="en-US" w:eastAsia="zh-CN"/>
        </w:rPr>
        <w:t>11</w:t>
      </w:r>
      <w:r>
        <w:rPr>
          <w:rFonts w:hint="eastAsia" w:ascii="仿宋" w:hAnsi="仿宋" w:eastAsia="仿宋" w:cs="仿宋"/>
          <w:spacing w:val="-2"/>
          <w:sz w:val="29"/>
          <w:szCs w:val="29"/>
        </w:rPr>
        <w:t>条。202</w:t>
      </w:r>
      <w:r>
        <w:rPr>
          <w:rFonts w:hint="eastAsia" w:ascii="仿宋" w:hAnsi="仿宋" w:eastAsia="仿宋" w:cs="仿宋"/>
          <w:spacing w:val="-2"/>
          <w:sz w:val="29"/>
          <w:szCs w:val="29"/>
          <w:lang w:val="en-US" w:eastAsia="zh-CN"/>
        </w:rPr>
        <w:t>2</w:t>
      </w:r>
      <w:r>
        <w:rPr>
          <w:rFonts w:hint="eastAsia" w:ascii="仿宋" w:hAnsi="仿宋" w:eastAsia="仿宋" w:cs="仿宋"/>
          <w:spacing w:val="-2"/>
          <w:sz w:val="29"/>
          <w:szCs w:val="29"/>
        </w:rPr>
        <w:t>年</w:t>
      </w:r>
      <w:r>
        <w:rPr>
          <w:rFonts w:hint="eastAsia" w:ascii="仿宋" w:hAnsi="仿宋" w:eastAsia="仿宋" w:cs="仿宋"/>
          <w:spacing w:val="-2"/>
          <w:sz w:val="29"/>
          <w:szCs w:val="29"/>
          <w:lang w:val="en-US" w:eastAsia="zh-CN"/>
        </w:rPr>
        <w:t>10</w:t>
      </w:r>
      <w:r>
        <w:rPr>
          <w:rFonts w:hint="eastAsia" w:ascii="仿宋" w:hAnsi="仿宋" w:eastAsia="仿宋" w:cs="仿宋"/>
          <w:spacing w:val="-2"/>
          <w:sz w:val="29"/>
          <w:szCs w:val="29"/>
        </w:rPr>
        <w:t>月，</w:t>
      </w:r>
      <w:r>
        <w:rPr>
          <w:rFonts w:hint="eastAsia" w:ascii="仿宋" w:hAnsi="仿宋" w:eastAsia="仿宋" w:cs="仿宋"/>
          <w:spacing w:val="-5"/>
          <w:sz w:val="29"/>
          <w:szCs w:val="29"/>
          <w:lang w:val="en-US" w:eastAsia="zh-CN"/>
        </w:rPr>
        <w:t>深圳市市场监督管理局</w:t>
      </w:r>
      <w:r>
        <w:rPr>
          <w:rFonts w:hint="eastAsia" w:ascii="仿宋" w:hAnsi="仿宋" w:eastAsia="仿宋" w:cs="仿宋"/>
          <w:spacing w:val="-2"/>
          <w:sz w:val="29"/>
          <w:szCs w:val="29"/>
        </w:rPr>
        <w:t>向</w:t>
      </w:r>
      <w:r>
        <w:rPr>
          <w:rFonts w:hint="eastAsia" w:ascii="仿宋" w:hAnsi="仿宋" w:eastAsia="仿宋" w:cs="仿宋"/>
          <w:spacing w:val="-2"/>
          <w:sz w:val="29"/>
          <w:szCs w:val="29"/>
          <w:lang w:val="en-US" w:eastAsia="zh-CN"/>
        </w:rPr>
        <w:t>公众</w:t>
      </w:r>
      <w:r>
        <w:rPr>
          <w:rFonts w:hint="eastAsia" w:ascii="仿宋" w:hAnsi="仿宋" w:eastAsia="仿宋" w:cs="仿宋"/>
          <w:spacing w:val="-2"/>
          <w:sz w:val="29"/>
          <w:szCs w:val="29"/>
        </w:rPr>
        <w:t>征求意见，共收到反馈意见</w:t>
      </w:r>
      <w:r>
        <w:rPr>
          <w:rFonts w:hint="eastAsia" w:ascii="仿宋" w:hAnsi="仿宋" w:eastAsia="仿宋" w:cs="仿宋"/>
          <w:spacing w:val="-2"/>
          <w:sz w:val="29"/>
          <w:szCs w:val="29"/>
          <w:lang w:val="en-US" w:eastAsia="zh-CN"/>
        </w:rPr>
        <w:t>11</w:t>
      </w:r>
      <w:r>
        <w:rPr>
          <w:rFonts w:hint="eastAsia" w:ascii="仿宋" w:hAnsi="仿宋" w:eastAsia="仿宋" w:cs="仿宋"/>
          <w:spacing w:val="-2"/>
          <w:sz w:val="29"/>
          <w:szCs w:val="29"/>
        </w:rPr>
        <w:t>条。经研究论证后，采纳意见</w:t>
      </w:r>
      <w:r>
        <w:rPr>
          <w:rFonts w:hint="eastAsia" w:ascii="仿宋" w:hAnsi="仿宋" w:eastAsia="仿宋" w:cs="仿宋"/>
          <w:spacing w:val="-2"/>
          <w:sz w:val="29"/>
          <w:szCs w:val="29"/>
          <w:lang w:val="en-US" w:eastAsia="zh-CN"/>
        </w:rPr>
        <w:t>5</w:t>
      </w:r>
      <w:r>
        <w:rPr>
          <w:rFonts w:hint="eastAsia" w:ascii="仿宋" w:hAnsi="仿宋" w:eastAsia="仿宋" w:cs="仿宋"/>
          <w:spacing w:val="-2"/>
          <w:sz w:val="29"/>
          <w:szCs w:val="29"/>
        </w:rPr>
        <w:t>条</w:t>
      </w:r>
      <w:r>
        <w:rPr>
          <w:rFonts w:hint="eastAsia" w:ascii="仿宋" w:hAnsi="仿宋" w:eastAsia="仿宋" w:cs="仿宋"/>
          <w:spacing w:val="-2"/>
          <w:sz w:val="29"/>
          <w:szCs w:val="29"/>
          <w:lang w:eastAsia="zh-CN"/>
        </w:rPr>
        <w:t>，</w:t>
      </w:r>
      <w:r>
        <w:rPr>
          <w:rFonts w:hint="eastAsia" w:ascii="仿宋" w:hAnsi="仿宋" w:eastAsia="仿宋" w:cs="仿宋"/>
          <w:spacing w:val="-2"/>
          <w:sz w:val="29"/>
          <w:szCs w:val="29"/>
          <w:lang w:val="en-US" w:eastAsia="zh-CN"/>
        </w:rPr>
        <w:t>综合采纳5条，解释说明1条</w:t>
      </w:r>
      <w:r>
        <w:rPr>
          <w:rFonts w:hint="eastAsia" w:ascii="仿宋" w:hAnsi="仿宋" w:eastAsia="仿宋" w:cs="仿宋"/>
          <w:spacing w:val="-2"/>
          <w:sz w:val="29"/>
          <w:szCs w:val="29"/>
        </w:rPr>
        <w:t>。</w:t>
      </w:r>
      <w:r>
        <w:rPr>
          <w:rFonts w:hint="eastAsia" w:ascii="仿宋" w:hAnsi="仿宋" w:eastAsia="仿宋" w:cs="仿宋"/>
          <w:spacing w:val="-2"/>
          <w:sz w:val="29"/>
          <w:szCs w:val="29"/>
          <w:lang w:val="en-US" w:eastAsia="zh-CN"/>
        </w:rPr>
        <w:t>上述意见，</w:t>
      </w:r>
      <w:r>
        <w:rPr>
          <w:rFonts w:hint="eastAsia" w:ascii="仿宋" w:hAnsi="仿宋" w:eastAsia="仿宋" w:cs="仿宋"/>
          <w:spacing w:val="-5"/>
          <w:sz w:val="29"/>
          <w:szCs w:val="29"/>
          <w:lang w:val="en-US" w:eastAsia="zh-CN"/>
        </w:rPr>
        <w:t>深圳市市场监督管理局</w:t>
      </w:r>
      <w:r>
        <w:rPr>
          <w:rFonts w:hint="eastAsia" w:ascii="仿宋" w:hAnsi="仿宋" w:eastAsia="仿宋" w:cs="仿宋"/>
          <w:spacing w:val="-2"/>
          <w:sz w:val="29"/>
          <w:szCs w:val="29"/>
          <w:lang w:val="en-US" w:eastAsia="zh-CN"/>
        </w:rPr>
        <w:t>均认真研究并</w:t>
      </w:r>
      <w:r>
        <w:rPr>
          <w:rFonts w:hint="eastAsia" w:ascii="仿宋" w:hAnsi="仿宋" w:eastAsia="仿宋" w:cs="仿宋"/>
          <w:spacing w:val="-2"/>
          <w:sz w:val="29"/>
          <w:szCs w:val="29"/>
        </w:rPr>
        <w:t>汇总统筹研究</w:t>
      </w:r>
      <w:r>
        <w:rPr>
          <w:rFonts w:hint="eastAsia" w:ascii="仿宋" w:hAnsi="仿宋" w:eastAsia="仿宋" w:cs="仿宋"/>
          <w:spacing w:val="-2"/>
          <w:sz w:val="29"/>
          <w:szCs w:val="29"/>
          <w:lang w:val="en-US" w:eastAsia="zh-CN"/>
        </w:rPr>
        <w:t>吸纳</w:t>
      </w:r>
      <w:r>
        <w:rPr>
          <w:rFonts w:hint="eastAsia" w:ascii="仿宋" w:hAnsi="仿宋" w:eastAsia="仿宋" w:cs="仿宋"/>
          <w:spacing w:val="-2"/>
          <w:sz w:val="29"/>
          <w:szCs w:val="29"/>
        </w:rPr>
        <w:t>。</w:t>
      </w:r>
    </w:p>
    <w:p>
      <w:pPr>
        <w:spacing w:before="95" w:line="382" w:lineRule="auto"/>
        <w:ind w:left="199" w:right="316" w:firstLine="565"/>
        <w:rPr>
          <w:rFonts w:hint="default" w:ascii="Arial" w:hAnsi="Arial" w:eastAsia="仿宋" w:cs="Arial"/>
          <w:spacing w:val="-2"/>
          <w:sz w:val="21"/>
          <w:szCs w:val="21"/>
        </w:rPr>
      </w:pPr>
    </w:p>
    <w:p>
      <w:pPr>
        <w:spacing w:before="94" w:line="222" w:lineRule="auto"/>
        <w:ind w:left="829"/>
        <w:outlineLvl w:val="2"/>
        <w:rPr>
          <w:rFonts w:hint="eastAsia" w:ascii="仿宋" w:hAnsi="仿宋" w:eastAsia="仿宋" w:cs="仿宋"/>
          <w:snapToGrid w:val="0"/>
          <w:color w:val="000000"/>
          <w:spacing w:val="-2"/>
          <w:kern w:val="0"/>
          <w:sz w:val="29"/>
          <w:szCs w:val="29"/>
        </w:rPr>
      </w:pPr>
      <w:bookmarkStart w:id="5" w:name="_Toc7875"/>
      <w:r>
        <w:rPr>
          <w:rFonts w:ascii="黑体" w:hAnsi="黑体" w:eastAsia="黑体" w:cs="黑体"/>
          <w:b/>
          <w:bCs/>
          <w:spacing w:val="10"/>
          <w:sz w:val="29"/>
          <w:szCs w:val="29"/>
        </w:rPr>
        <w:t>(四)评估事项主要内容</w:t>
      </w:r>
      <w:bookmarkEnd w:id="5"/>
    </w:p>
    <w:p>
      <w:pPr>
        <w:pStyle w:val="11"/>
        <w:spacing w:beforeLines="0" w:afterLines="0" w:line="560" w:lineRule="exact"/>
        <w:ind w:firstLine="640"/>
        <w:jc w:val="both"/>
        <w:rPr>
          <w:rFonts w:hint="eastAsia" w:ascii="仿宋" w:hAnsi="仿宋" w:eastAsia="仿宋" w:cs="仿宋"/>
          <w:snapToGrid w:val="0"/>
          <w:color w:val="000000"/>
          <w:spacing w:val="-2"/>
          <w:kern w:val="0"/>
          <w:sz w:val="29"/>
          <w:szCs w:val="29"/>
        </w:rPr>
      </w:pPr>
      <w:r>
        <w:rPr>
          <w:rFonts w:hint="eastAsia" w:ascii="仿宋" w:hAnsi="仿宋" w:eastAsia="仿宋" w:cs="仿宋"/>
          <w:snapToGrid w:val="0"/>
          <w:color w:val="000000"/>
          <w:spacing w:val="-2"/>
          <w:kern w:val="0"/>
          <w:sz w:val="29"/>
          <w:szCs w:val="29"/>
        </w:rPr>
        <w:t>《若干措施》为支持深圳现代农业高质量发展，在科技创新、产业发展、民生保供、质量监管、要素支撑等五个方面提出十六项措施，全方位多环节加大对农业龙头企业的培育和扶持力度，具体如下：</w:t>
      </w:r>
    </w:p>
    <w:p>
      <w:pPr>
        <w:spacing w:beforeLines="0" w:afterLines="0" w:line="560" w:lineRule="exact"/>
        <w:ind w:firstLine="572" w:firstLineChars="200"/>
        <w:jc w:val="both"/>
        <w:rPr>
          <w:rFonts w:hint="eastAsia" w:ascii="仿宋" w:hAnsi="仿宋" w:eastAsia="仿宋" w:cs="仿宋"/>
          <w:snapToGrid w:val="0"/>
          <w:color w:val="000000"/>
          <w:spacing w:val="-2"/>
          <w:kern w:val="0"/>
          <w:sz w:val="29"/>
          <w:szCs w:val="29"/>
        </w:rPr>
      </w:pPr>
      <w:r>
        <w:rPr>
          <w:rFonts w:hint="eastAsia" w:ascii="仿宋" w:hAnsi="仿宋" w:eastAsia="仿宋" w:cs="仿宋"/>
          <w:snapToGrid w:val="0"/>
          <w:color w:val="000000"/>
          <w:spacing w:val="-2"/>
          <w:kern w:val="0"/>
          <w:sz w:val="29"/>
          <w:szCs w:val="29"/>
        </w:rPr>
        <w:t>1.提升农业科技创新能级。针对核心关键技术创新能力不足、高水平技术服务平台缺乏、科技成果转化水平不高等问题，提出推动核心关键技术突破、建设高水平创新载体、促进成果转化推广应用等政策举措。</w:t>
      </w:r>
    </w:p>
    <w:p>
      <w:pPr>
        <w:spacing w:beforeLines="0" w:afterLines="0" w:line="560" w:lineRule="exact"/>
        <w:ind w:firstLine="572" w:firstLineChars="200"/>
        <w:jc w:val="both"/>
        <w:rPr>
          <w:rFonts w:hint="eastAsia" w:ascii="仿宋" w:hAnsi="仿宋" w:eastAsia="仿宋" w:cs="仿宋"/>
          <w:snapToGrid w:val="0"/>
          <w:color w:val="000000"/>
          <w:spacing w:val="-2"/>
          <w:kern w:val="0"/>
          <w:sz w:val="29"/>
          <w:szCs w:val="29"/>
          <w:lang w:eastAsia="zh-CN"/>
        </w:rPr>
      </w:pPr>
      <w:r>
        <w:rPr>
          <w:rFonts w:hint="eastAsia" w:ascii="仿宋" w:hAnsi="仿宋" w:eastAsia="仿宋" w:cs="仿宋"/>
          <w:snapToGrid w:val="0"/>
          <w:color w:val="000000"/>
          <w:spacing w:val="-2"/>
          <w:kern w:val="0"/>
          <w:sz w:val="29"/>
          <w:szCs w:val="29"/>
        </w:rPr>
        <w:t>2.提高现代农业发展质量。针对市农业龙头企业规模小、实力不强、农业产业与其余配套产业融合度低、农业产业发展空间不足等问题，提出壮大市场主体、培育农业新型业态、创新产业拓展模式、建设现代农业产业园的具体措施。</w:t>
      </w:r>
    </w:p>
    <w:p>
      <w:pPr>
        <w:spacing w:beforeLines="0" w:afterLines="0" w:line="560" w:lineRule="exact"/>
        <w:ind w:firstLine="572" w:firstLineChars="200"/>
        <w:jc w:val="both"/>
        <w:rPr>
          <w:rFonts w:hint="eastAsia" w:ascii="仿宋" w:hAnsi="仿宋" w:eastAsia="仿宋" w:cs="仿宋"/>
          <w:snapToGrid w:val="0"/>
          <w:color w:val="000000"/>
          <w:spacing w:val="-2"/>
          <w:kern w:val="0"/>
          <w:sz w:val="29"/>
          <w:szCs w:val="29"/>
        </w:rPr>
      </w:pPr>
      <w:r>
        <w:rPr>
          <w:rFonts w:hint="eastAsia" w:ascii="仿宋" w:hAnsi="仿宋" w:eastAsia="仿宋" w:cs="仿宋"/>
          <w:snapToGrid w:val="0"/>
          <w:color w:val="000000"/>
          <w:spacing w:val="-2"/>
          <w:kern w:val="0"/>
          <w:sz w:val="29"/>
          <w:szCs w:val="29"/>
        </w:rPr>
        <w:t>3.巩固民生供应全链保障。针对深圳菜篮子基地高质量发展程度不足、冷链物流基础设施投入低等问题，以及新冠疫情常态化防控供应生态仍待完善的现状，提出升级农产品供应体系、优化销售物流体系、提升市场应急保供能力的政策措施。</w:t>
      </w:r>
    </w:p>
    <w:p>
      <w:pPr>
        <w:spacing w:beforeLines="0" w:afterLines="0" w:line="560" w:lineRule="exact"/>
        <w:ind w:firstLine="572" w:firstLineChars="200"/>
        <w:jc w:val="both"/>
        <w:rPr>
          <w:rFonts w:hint="eastAsia" w:ascii="仿宋" w:hAnsi="仿宋" w:eastAsia="仿宋" w:cs="仿宋"/>
          <w:snapToGrid w:val="0"/>
          <w:color w:val="000000"/>
          <w:spacing w:val="-2"/>
          <w:kern w:val="0"/>
          <w:sz w:val="29"/>
          <w:szCs w:val="29"/>
        </w:rPr>
      </w:pPr>
      <w:r>
        <w:rPr>
          <w:rFonts w:hint="eastAsia" w:ascii="仿宋" w:hAnsi="仿宋" w:eastAsia="仿宋" w:cs="仿宋"/>
          <w:snapToGrid w:val="0"/>
          <w:color w:val="000000"/>
          <w:spacing w:val="-2"/>
          <w:kern w:val="0"/>
          <w:sz w:val="29"/>
          <w:szCs w:val="29"/>
        </w:rPr>
        <w:t>4.加强质量安全全程管理。针对我市农业全产业链安全监测机制待完善、耕地质量管理待加强的现状，提出提高农产品质量安全、强化动植物疫病防控、保障粮食生产和安全等措施。</w:t>
      </w:r>
    </w:p>
    <w:p>
      <w:pPr>
        <w:spacing w:beforeLines="0" w:afterLines="0" w:line="560" w:lineRule="exact"/>
        <w:ind w:firstLine="572" w:firstLineChars="200"/>
        <w:jc w:val="both"/>
        <w:rPr>
          <w:rFonts w:ascii="Arial"/>
          <w:sz w:val="21"/>
        </w:rPr>
      </w:pPr>
      <w:r>
        <w:rPr>
          <w:rFonts w:hint="eastAsia" w:ascii="仿宋" w:hAnsi="仿宋" w:eastAsia="仿宋" w:cs="仿宋"/>
          <w:snapToGrid w:val="0"/>
          <w:color w:val="000000"/>
          <w:spacing w:val="-2"/>
          <w:kern w:val="0"/>
          <w:sz w:val="29"/>
          <w:szCs w:val="29"/>
        </w:rPr>
        <w:t>5.强化产业资源要素支撑。针对我市高端复合型农业人才缺乏、国际合作不足、农业企业融资门槛高、资金周转困难等问题，提出提升增强人才集聚效应、深化行业交流合作、强化财政金融支撑等政策举措。</w:t>
      </w:r>
    </w:p>
    <w:p>
      <w:pPr>
        <w:spacing w:before="91" w:line="222" w:lineRule="auto"/>
        <w:ind w:left="638"/>
        <w:outlineLvl w:val="1"/>
        <w:rPr>
          <w:rFonts w:ascii="Arial"/>
          <w:sz w:val="21"/>
        </w:rPr>
      </w:pPr>
      <w:bookmarkStart w:id="6" w:name="_Toc28638"/>
      <w:r>
        <w:rPr>
          <w:rFonts w:ascii="黑体" w:hAnsi="黑体" w:eastAsia="黑体" w:cs="黑体"/>
          <w:b/>
          <w:bCs/>
          <w:spacing w:val="-4"/>
          <w:sz w:val="28"/>
          <w:szCs w:val="28"/>
        </w:rPr>
        <w:t>二、评估目的</w:t>
      </w:r>
      <w:bookmarkEnd w:id="6"/>
    </w:p>
    <w:p>
      <w:pPr>
        <w:spacing w:before="91" w:line="395" w:lineRule="auto"/>
        <w:ind w:left="54" w:right="145" w:firstLine="580"/>
        <w:jc w:val="both"/>
        <w:rPr>
          <w:rFonts w:ascii="Arial"/>
          <w:sz w:val="21"/>
        </w:rPr>
      </w:pPr>
      <w:r>
        <w:rPr>
          <w:rFonts w:ascii="仿宋" w:hAnsi="仿宋" w:eastAsia="仿宋" w:cs="仿宋"/>
          <w:spacing w:val="10"/>
          <w:sz w:val="28"/>
          <w:szCs w:val="28"/>
        </w:rPr>
        <w:t>规范</w:t>
      </w:r>
      <w:r>
        <w:rPr>
          <w:rFonts w:hint="eastAsia" w:ascii="仿宋" w:hAnsi="仿宋" w:eastAsia="仿宋" w:cs="仿宋"/>
          <w:spacing w:val="10"/>
          <w:sz w:val="28"/>
          <w:szCs w:val="28"/>
          <w:lang w:val="en-US" w:eastAsia="zh-CN"/>
        </w:rPr>
        <w:t>《若干措施》</w:t>
      </w:r>
      <w:r>
        <w:rPr>
          <w:rFonts w:ascii="仿宋" w:hAnsi="仿宋" w:eastAsia="仿宋" w:cs="仿宋"/>
          <w:spacing w:val="10"/>
          <w:sz w:val="28"/>
          <w:szCs w:val="28"/>
        </w:rPr>
        <w:t>的制定程序，推进</w:t>
      </w:r>
      <w:r>
        <w:rPr>
          <w:rFonts w:hint="eastAsia" w:ascii="仿宋" w:hAnsi="仿宋" w:eastAsia="仿宋" w:cs="仿宋"/>
          <w:spacing w:val="10"/>
          <w:sz w:val="28"/>
          <w:szCs w:val="28"/>
          <w:lang w:val="en-US" w:eastAsia="zh-CN"/>
        </w:rPr>
        <w:t>《若干措施》</w:t>
      </w:r>
      <w:r>
        <w:rPr>
          <w:rFonts w:ascii="仿宋" w:hAnsi="仿宋" w:eastAsia="仿宋" w:cs="仿宋"/>
          <w:spacing w:val="8"/>
          <w:sz w:val="28"/>
          <w:szCs w:val="28"/>
        </w:rPr>
        <w:t>制定的科学化、民主化和法治化，提高</w:t>
      </w:r>
      <w:r>
        <w:rPr>
          <w:rFonts w:hint="eastAsia" w:ascii="仿宋" w:hAnsi="仿宋" w:eastAsia="仿宋" w:cs="仿宋"/>
          <w:spacing w:val="10"/>
          <w:sz w:val="28"/>
          <w:szCs w:val="28"/>
          <w:lang w:val="en-US" w:eastAsia="zh-CN"/>
        </w:rPr>
        <w:t>《若干措施》</w:t>
      </w:r>
      <w:r>
        <w:rPr>
          <w:rFonts w:ascii="仿宋" w:hAnsi="仿宋" w:eastAsia="仿宋" w:cs="仿宋"/>
          <w:spacing w:val="8"/>
          <w:sz w:val="28"/>
          <w:szCs w:val="28"/>
        </w:rPr>
        <w:t>制定的</w:t>
      </w:r>
      <w:r>
        <w:rPr>
          <w:rFonts w:ascii="仿宋" w:hAnsi="仿宋" w:eastAsia="仿宋" w:cs="仿宋"/>
          <w:spacing w:val="9"/>
          <w:sz w:val="28"/>
          <w:szCs w:val="28"/>
        </w:rPr>
        <w:t>水平和质量。从源头上预防、减少和消除影响社会稳定的隐</w:t>
      </w:r>
      <w:r>
        <w:rPr>
          <w:rFonts w:ascii="仿宋" w:hAnsi="仿宋" w:eastAsia="仿宋" w:cs="仿宋"/>
          <w:spacing w:val="8"/>
          <w:sz w:val="28"/>
          <w:szCs w:val="28"/>
        </w:rPr>
        <w:t>患，</w:t>
      </w:r>
      <w:r>
        <w:rPr>
          <w:rFonts w:ascii="仿宋" w:hAnsi="仿宋" w:eastAsia="仿宋" w:cs="仿宋"/>
          <w:spacing w:val="10"/>
          <w:sz w:val="28"/>
          <w:szCs w:val="28"/>
        </w:rPr>
        <w:t>维护公共利益和社会秩序，促进和谐稳定的发展环境</w:t>
      </w:r>
      <w:r>
        <w:rPr>
          <w:rFonts w:ascii="仿宋" w:hAnsi="仿宋" w:eastAsia="仿宋" w:cs="仿宋"/>
          <w:spacing w:val="9"/>
          <w:sz w:val="28"/>
          <w:szCs w:val="28"/>
        </w:rPr>
        <w:t>。</w:t>
      </w:r>
    </w:p>
    <w:p>
      <w:pPr>
        <w:spacing w:before="91" w:line="222" w:lineRule="auto"/>
        <w:ind w:left="638"/>
        <w:outlineLvl w:val="1"/>
        <w:rPr>
          <w:rFonts w:ascii="Arial"/>
          <w:sz w:val="21"/>
        </w:rPr>
      </w:pPr>
      <w:bookmarkStart w:id="7" w:name="_Toc695"/>
      <w:r>
        <w:rPr>
          <w:rFonts w:ascii="黑体" w:hAnsi="黑体" w:eastAsia="黑体" w:cs="黑体"/>
          <w:b/>
          <w:bCs/>
          <w:spacing w:val="-6"/>
          <w:sz w:val="28"/>
          <w:szCs w:val="28"/>
        </w:rPr>
        <w:t>三、评估依据</w:t>
      </w:r>
      <w:bookmarkEnd w:id="7"/>
    </w:p>
    <w:p>
      <w:pPr>
        <w:spacing w:before="92" w:line="401" w:lineRule="auto"/>
        <w:ind w:left="54" w:right="216" w:firstLine="590"/>
        <w:jc w:val="both"/>
        <w:rPr>
          <w:rFonts w:ascii="仿宋" w:hAnsi="仿宋" w:eastAsia="仿宋" w:cs="仿宋"/>
          <w:sz w:val="28"/>
          <w:szCs w:val="28"/>
        </w:rPr>
      </w:pPr>
      <w:r>
        <w:rPr>
          <w:rFonts w:ascii="仿宋" w:hAnsi="仿宋" w:eastAsia="仿宋" w:cs="仿宋"/>
          <w:spacing w:val="6"/>
          <w:sz w:val="28"/>
          <w:szCs w:val="28"/>
        </w:rPr>
        <w:t>《重大行政决策程序暂行条例》《广东省重大行政决策程序</w:t>
      </w:r>
      <w:r>
        <w:rPr>
          <w:rFonts w:ascii="仿宋" w:hAnsi="仿宋" w:eastAsia="仿宋" w:cs="仿宋"/>
          <w:spacing w:val="8"/>
          <w:sz w:val="28"/>
          <w:szCs w:val="28"/>
        </w:rPr>
        <w:t>规定》《深圳市人民政府重大行政决策程序规定》</w:t>
      </w:r>
      <w:r>
        <w:rPr>
          <w:rFonts w:ascii="仿宋" w:hAnsi="仿宋" w:eastAsia="仿宋" w:cs="仿宋"/>
          <w:spacing w:val="7"/>
          <w:sz w:val="28"/>
          <w:szCs w:val="28"/>
        </w:rPr>
        <w:t>以及《深圳市</w:t>
      </w:r>
      <w:r>
        <w:rPr>
          <w:rFonts w:ascii="仿宋" w:hAnsi="仿宋" w:eastAsia="仿宋" w:cs="仿宋"/>
          <w:spacing w:val="10"/>
          <w:sz w:val="28"/>
          <w:szCs w:val="28"/>
        </w:rPr>
        <w:t>重大事项社会稳定风险评估办法》</w:t>
      </w:r>
    </w:p>
    <w:p>
      <w:pPr>
        <w:spacing w:line="325" w:lineRule="auto"/>
        <w:rPr>
          <w:rFonts w:ascii="Arial"/>
          <w:sz w:val="21"/>
        </w:rPr>
      </w:pPr>
    </w:p>
    <w:p>
      <w:pPr>
        <w:spacing w:before="91" w:line="222" w:lineRule="auto"/>
        <w:ind w:left="638"/>
        <w:outlineLvl w:val="1"/>
        <w:rPr>
          <w:rFonts w:ascii="Arial"/>
          <w:sz w:val="21"/>
        </w:rPr>
      </w:pPr>
      <w:bookmarkStart w:id="8" w:name="_Toc17119"/>
      <w:r>
        <w:rPr>
          <w:rFonts w:ascii="黑体" w:hAnsi="黑体" w:eastAsia="黑体" w:cs="黑体"/>
          <w:b/>
          <w:bCs/>
          <w:spacing w:val="-7"/>
          <w:sz w:val="28"/>
          <w:szCs w:val="28"/>
        </w:rPr>
        <w:t>四、评估要点</w:t>
      </w:r>
      <w:bookmarkEnd w:id="8"/>
    </w:p>
    <w:p>
      <w:pPr>
        <w:spacing w:before="92" w:line="401" w:lineRule="auto"/>
        <w:ind w:left="54" w:right="216" w:firstLine="590"/>
        <w:jc w:val="both"/>
        <w:rPr>
          <w:rFonts w:ascii="仿宋" w:hAnsi="仿宋" w:eastAsia="仿宋" w:cs="仿宋"/>
          <w:spacing w:val="6"/>
          <w:sz w:val="28"/>
          <w:szCs w:val="28"/>
        </w:rPr>
      </w:pPr>
      <w:r>
        <w:rPr>
          <w:rFonts w:ascii="仿宋" w:hAnsi="仿宋" w:eastAsia="仿宋" w:cs="仿宋"/>
          <w:spacing w:val="6"/>
          <w:sz w:val="28"/>
          <w:szCs w:val="28"/>
        </w:rPr>
        <w:t>针对</w:t>
      </w:r>
      <w:r>
        <w:rPr>
          <w:rFonts w:hint="eastAsia" w:ascii="仿宋" w:hAnsi="仿宋" w:eastAsia="仿宋" w:cs="仿宋"/>
          <w:spacing w:val="6"/>
          <w:sz w:val="28"/>
          <w:szCs w:val="28"/>
          <w:lang w:val="en-US" w:eastAsia="zh-CN"/>
        </w:rPr>
        <w:t>《若干措施》</w:t>
      </w:r>
      <w:r>
        <w:rPr>
          <w:rFonts w:ascii="仿宋" w:hAnsi="仿宋" w:eastAsia="仿宋" w:cs="仿宋"/>
          <w:spacing w:val="6"/>
          <w:sz w:val="28"/>
          <w:szCs w:val="28"/>
        </w:rPr>
        <w:t>的整体合理性、合法性、可行性、风险可控性进行综合评估。主要包括：</w:t>
      </w:r>
    </w:p>
    <w:p>
      <w:pPr>
        <w:spacing w:before="92" w:line="401" w:lineRule="auto"/>
        <w:ind w:left="54" w:right="216" w:firstLine="590"/>
        <w:jc w:val="both"/>
        <w:rPr>
          <w:rFonts w:ascii="仿宋" w:hAnsi="仿宋" w:eastAsia="仿宋" w:cs="仿宋"/>
          <w:spacing w:val="6"/>
          <w:sz w:val="28"/>
          <w:szCs w:val="28"/>
        </w:rPr>
      </w:pPr>
      <w:r>
        <w:rPr>
          <w:rFonts w:ascii="仿宋" w:hAnsi="仿宋" w:eastAsia="仿宋" w:cs="仿宋"/>
          <w:spacing w:val="6"/>
          <w:sz w:val="28"/>
          <w:szCs w:val="28"/>
        </w:rPr>
        <w:t>1.</w:t>
      </w:r>
      <w:r>
        <w:rPr>
          <w:rFonts w:hint="eastAsia" w:ascii="仿宋" w:hAnsi="仿宋" w:eastAsia="仿宋" w:cs="仿宋"/>
          <w:spacing w:val="6"/>
          <w:sz w:val="28"/>
          <w:szCs w:val="28"/>
          <w:lang w:val="en-US" w:eastAsia="zh-CN"/>
        </w:rPr>
        <w:t>《若干措施》</w:t>
      </w:r>
      <w:r>
        <w:rPr>
          <w:rFonts w:ascii="仿宋" w:hAnsi="仿宋" w:eastAsia="仿宋" w:cs="仿宋"/>
          <w:spacing w:val="6"/>
          <w:sz w:val="28"/>
          <w:szCs w:val="28"/>
        </w:rPr>
        <w:t>的制定主体、制定程序是否符合规定，是否具有明确的上位法依据；</w:t>
      </w:r>
    </w:p>
    <w:p>
      <w:pPr>
        <w:spacing w:before="92" w:line="401" w:lineRule="auto"/>
        <w:ind w:left="54" w:right="216" w:firstLine="590"/>
        <w:jc w:val="both"/>
        <w:rPr>
          <w:rFonts w:ascii="仿宋" w:hAnsi="仿宋" w:eastAsia="仿宋" w:cs="仿宋"/>
          <w:spacing w:val="6"/>
          <w:sz w:val="28"/>
          <w:szCs w:val="28"/>
        </w:rPr>
      </w:pPr>
      <w:r>
        <w:rPr>
          <w:rFonts w:ascii="仿宋" w:hAnsi="仿宋" w:eastAsia="仿宋" w:cs="仿宋"/>
          <w:spacing w:val="6"/>
          <w:sz w:val="28"/>
          <w:szCs w:val="28"/>
        </w:rPr>
        <w:t>2.</w:t>
      </w:r>
      <w:r>
        <w:rPr>
          <w:rFonts w:hint="eastAsia" w:ascii="仿宋" w:hAnsi="仿宋" w:eastAsia="仿宋" w:cs="仿宋"/>
          <w:spacing w:val="6"/>
          <w:sz w:val="28"/>
          <w:szCs w:val="28"/>
          <w:lang w:val="en-US" w:eastAsia="zh-CN"/>
        </w:rPr>
        <w:t>《若干措施》</w:t>
      </w:r>
      <w:r>
        <w:rPr>
          <w:rFonts w:ascii="仿宋" w:hAnsi="仿宋" w:eastAsia="仿宋" w:cs="仿宋"/>
          <w:spacing w:val="6"/>
          <w:sz w:val="28"/>
          <w:szCs w:val="28"/>
        </w:rPr>
        <w:t>能否</w:t>
      </w:r>
      <w:r>
        <w:rPr>
          <w:rFonts w:hint="eastAsia" w:ascii="仿宋" w:hAnsi="仿宋" w:eastAsia="仿宋" w:cs="仿宋"/>
          <w:spacing w:val="6"/>
          <w:sz w:val="28"/>
          <w:szCs w:val="28"/>
          <w:lang w:val="en-US" w:eastAsia="zh-CN"/>
        </w:rPr>
        <w:t>推动和</w:t>
      </w:r>
      <w:r>
        <w:rPr>
          <w:rFonts w:hint="eastAsia" w:ascii="仿宋" w:hAnsi="仿宋" w:eastAsia="仿宋" w:cs="仿宋"/>
          <w:spacing w:val="6"/>
          <w:sz w:val="28"/>
          <w:szCs w:val="28"/>
        </w:rPr>
        <w:t>支持深圳现代农业高质量发展</w:t>
      </w:r>
      <w:r>
        <w:rPr>
          <w:rFonts w:ascii="仿宋" w:hAnsi="仿宋" w:eastAsia="仿宋" w:cs="仿宋"/>
          <w:spacing w:val="6"/>
          <w:sz w:val="28"/>
          <w:szCs w:val="28"/>
        </w:rPr>
        <w:t>，促进</w:t>
      </w:r>
      <w:r>
        <w:rPr>
          <w:rFonts w:hint="eastAsia" w:ascii="仿宋" w:hAnsi="仿宋" w:eastAsia="仿宋" w:cs="仿宋"/>
          <w:spacing w:val="6"/>
          <w:sz w:val="28"/>
          <w:szCs w:val="28"/>
          <w:lang w:val="en-US" w:eastAsia="zh-CN"/>
        </w:rPr>
        <w:t>农业相关</w:t>
      </w:r>
      <w:r>
        <w:rPr>
          <w:rFonts w:ascii="仿宋" w:hAnsi="仿宋" w:eastAsia="仿宋" w:cs="仿宋"/>
          <w:spacing w:val="6"/>
          <w:sz w:val="28"/>
          <w:szCs w:val="28"/>
        </w:rPr>
        <w:t>部门</w:t>
      </w:r>
      <w:r>
        <w:rPr>
          <w:rFonts w:hint="eastAsia" w:ascii="仿宋" w:hAnsi="仿宋" w:eastAsia="仿宋" w:cs="仿宋"/>
          <w:spacing w:val="6"/>
          <w:sz w:val="28"/>
          <w:szCs w:val="28"/>
        </w:rPr>
        <w:t>对农业龙头企业的培育和扶持力度</w:t>
      </w:r>
      <w:r>
        <w:rPr>
          <w:rFonts w:ascii="仿宋" w:hAnsi="仿宋" w:eastAsia="仿宋" w:cs="仿宋"/>
          <w:spacing w:val="6"/>
          <w:sz w:val="28"/>
          <w:szCs w:val="28"/>
        </w:rPr>
        <w:t>；</w:t>
      </w:r>
    </w:p>
    <w:p>
      <w:pPr>
        <w:spacing w:before="92" w:line="401" w:lineRule="auto"/>
        <w:ind w:left="54" w:right="216" w:firstLine="590"/>
        <w:jc w:val="both"/>
        <w:rPr>
          <w:rFonts w:ascii="仿宋" w:hAnsi="仿宋" w:eastAsia="仿宋" w:cs="仿宋"/>
          <w:spacing w:val="6"/>
          <w:sz w:val="28"/>
          <w:szCs w:val="28"/>
        </w:rPr>
      </w:pPr>
      <w:r>
        <w:rPr>
          <w:rFonts w:ascii="仿宋" w:hAnsi="仿宋" w:eastAsia="仿宋" w:cs="仿宋"/>
          <w:spacing w:val="6"/>
          <w:sz w:val="28"/>
          <w:szCs w:val="28"/>
        </w:rPr>
        <w:t>3.</w:t>
      </w:r>
      <w:r>
        <w:rPr>
          <w:rFonts w:hint="eastAsia" w:ascii="仿宋" w:hAnsi="仿宋" w:eastAsia="仿宋" w:cs="仿宋"/>
          <w:spacing w:val="6"/>
          <w:sz w:val="28"/>
          <w:szCs w:val="28"/>
          <w:lang w:val="en-US" w:eastAsia="zh-CN"/>
        </w:rPr>
        <w:t>农业企业</w:t>
      </w:r>
      <w:r>
        <w:rPr>
          <w:rFonts w:ascii="仿宋" w:hAnsi="仿宋" w:eastAsia="仿宋" w:cs="仿宋"/>
          <w:spacing w:val="6"/>
          <w:sz w:val="28"/>
          <w:szCs w:val="28"/>
        </w:rPr>
        <w:t>有可能就哪些方面提出合理的异议和诉求，能否通过</w:t>
      </w:r>
      <w:r>
        <w:rPr>
          <w:rFonts w:hint="eastAsia" w:ascii="仿宋" w:hAnsi="仿宋" w:eastAsia="仿宋" w:cs="仿宋"/>
          <w:spacing w:val="6"/>
          <w:sz w:val="28"/>
          <w:szCs w:val="28"/>
          <w:lang w:val="en-US" w:eastAsia="zh-CN"/>
        </w:rPr>
        <w:t>《若干措施》</w:t>
      </w:r>
      <w:r>
        <w:rPr>
          <w:rFonts w:ascii="仿宋" w:hAnsi="仿宋" w:eastAsia="仿宋" w:cs="仿宋"/>
          <w:spacing w:val="6"/>
          <w:sz w:val="28"/>
          <w:szCs w:val="28"/>
        </w:rPr>
        <w:t>的相关规定妥善解决；</w:t>
      </w:r>
    </w:p>
    <w:p>
      <w:pPr>
        <w:numPr>
          <w:ilvl w:val="0"/>
          <w:numId w:val="1"/>
        </w:numPr>
        <w:spacing w:before="92" w:line="401" w:lineRule="auto"/>
        <w:ind w:left="54" w:right="216" w:firstLine="590"/>
        <w:jc w:val="both"/>
        <w:rPr>
          <w:rFonts w:ascii="仿宋" w:hAnsi="仿宋" w:eastAsia="仿宋" w:cs="仿宋"/>
          <w:spacing w:val="6"/>
          <w:sz w:val="28"/>
          <w:szCs w:val="28"/>
        </w:rPr>
      </w:pPr>
      <w:r>
        <w:rPr>
          <w:rFonts w:ascii="仿宋" w:hAnsi="仿宋" w:eastAsia="仿宋" w:cs="仿宋"/>
          <w:spacing w:val="6"/>
          <w:sz w:val="28"/>
          <w:szCs w:val="28"/>
        </w:rPr>
        <w:t>在施行中可能遇到的争议，能否依据法律、政策进行充分合理解释、有力论证和详细说明；</w:t>
      </w:r>
    </w:p>
    <w:p>
      <w:pPr>
        <w:numPr>
          <w:ilvl w:val="0"/>
          <w:numId w:val="0"/>
        </w:numPr>
        <w:spacing w:before="92" w:line="401" w:lineRule="auto"/>
        <w:ind w:left="644" w:leftChars="0" w:right="216" w:rightChars="0"/>
        <w:jc w:val="both"/>
        <w:rPr>
          <w:rFonts w:ascii="Arial"/>
          <w:sz w:val="21"/>
        </w:rPr>
      </w:pPr>
      <w:r>
        <w:rPr>
          <w:rFonts w:ascii="仿宋" w:hAnsi="仿宋" w:eastAsia="仿宋" w:cs="仿宋"/>
          <w:spacing w:val="6"/>
          <w:sz w:val="28"/>
          <w:szCs w:val="28"/>
        </w:rPr>
        <w:t>5.有可能引发不稳定因素的其他方面。</w:t>
      </w:r>
    </w:p>
    <w:p>
      <w:pPr>
        <w:spacing w:before="94" w:line="221" w:lineRule="auto"/>
        <w:ind w:left="775"/>
        <w:outlineLvl w:val="1"/>
        <w:rPr>
          <w:rFonts w:ascii="Arial"/>
          <w:sz w:val="21"/>
        </w:rPr>
      </w:pPr>
      <w:bookmarkStart w:id="9" w:name="_Toc14008"/>
      <w:r>
        <w:rPr>
          <w:rFonts w:ascii="黑体" w:hAnsi="黑体" w:eastAsia="黑体" w:cs="黑体"/>
          <w:b/>
          <w:bCs/>
          <w:spacing w:val="-15"/>
          <w:sz w:val="29"/>
          <w:szCs w:val="29"/>
        </w:rPr>
        <w:t>五、评估方法</w:t>
      </w:r>
      <w:bookmarkEnd w:id="9"/>
    </w:p>
    <w:p>
      <w:pPr>
        <w:spacing w:before="94" w:line="620" w:lineRule="exact"/>
        <w:ind w:left="771"/>
        <w:jc w:val="both"/>
        <w:rPr>
          <w:rFonts w:ascii="仿宋" w:hAnsi="仿宋" w:eastAsia="仿宋" w:cs="仿宋"/>
          <w:sz w:val="29"/>
          <w:szCs w:val="29"/>
        </w:rPr>
      </w:pPr>
      <w:r>
        <w:rPr>
          <w:rFonts w:ascii="仿宋" w:hAnsi="仿宋" w:eastAsia="仿宋" w:cs="仿宋"/>
          <w:spacing w:val="-5"/>
          <w:position w:val="25"/>
          <w:sz w:val="29"/>
          <w:szCs w:val="29"/>
        </w:rPr>
        <w:t>采用定性分析法，组织收集决策背景、信息、数据等资料进</w:t>
      </w:r>
    </w:p>
    <w:p>
      <w:pPr>
        <w:spacing w:before="1" w:line="220" w:lineRule="auto"/>
        <w:ind w:left="201"/>
        <w:jc w:val="both"/>
        <w:rPr>
          <w:rFonts w:ascii="Arial"/>
          <w:sz w:val="21"/>
        </w:rPr>
      </w:pPr>
      <w:r>
        <w:rPr>
          <w:rFonts w:ascii="仿宋" w:hAnsi="仿宋" w:eastAsia="仿宋" w:cs="仿宋"/>
          <w:spacing w:val="-2"/>
          <w:sz w:val="29"/>
          <w:szCs w:val="29"/>
        </w:rPr>
        <w:t>行综合分析研究，全面查找风险源、风险点，并逐一进行评估。</w:t>
      </w:r>
    </w:p>
    <w:p>
      <w:pPr>
        <w:spacing w:before="94" w:line="221" w:lineRule="auto"/>
        <w:ind w:left="775"/>
        <w:outlineLvl w:val="1"/>
        <w:rPr>
          <w:rFonts w:ascii="Arial"/>
          <w:sz w:val="21"/>
        </w:rPr>
      </w:pPr>
      <w:bookmarkStart w:id="10" w:name="_Toc8937"/>
      <w:r>
        <w:rPr>
          <w:rFonts w:ascii="黑体" w:hAnsi="黑体" w:eastAsia="黑体" w:cs="黑体"/>
          <w:b/>
          <w:bCs/>
          <w:spacing w:val="-14"/>
          <w:sz w:val="29"/>
          <w:szCs w:val="29"/>
        </w:rPr>
        <w:t>六、评估方式</w:t>
      </w:r>
      <w:bookmarkEnd w:id="10"/>
    </w:p>
    <w:p>
      <w:pPr>
        <w:spacing w:before="95" w:line="602" w:lineRule="exact"/>
        <w:ind w:left="771"/>
        <w:jc w:val="both"/>
        <w:rPr>
          <w:rFonts w:ascii="仿宋" w:hAnsi="仿宋" w:eastAsia="仿宋" w:cs="仿宋"/>
          <w:sz w:val="29"/>
          <w:szCs w:val="29"/>
        </w:rPr>
      </w:pPr>
      <w:r>
        <w:rPr>
          <w:rFonts w:ascii="仿宋" w:hAnsi="仿宋" w:eastAsia="仿宋" w:cs="仿宋"/>
          <w:spacing w:val="-4"/>
          <w:position w:val="23"/>
          <w:sz w:val="29"/>
          <w:szCs w:val="29"/>
        </w:rPr>
        <w:t>评估方式具体包括征求相关部门意见、征求公众意见、组织</w:t>
      </w:r>
    </w:p>
    <w:p>
      <w:pPr>
        <w:spacing w:before="1" w:line="221" w:lineRule="auto"/>
        <w:ind w:left="201"/>
        <w:jc w:val="both"/>
        <w:rPr>
          <w:rFonts w:ascii="仿宋" w:hAnsi="仿宋" w:eastAsia="仿宋" w:cs="仿宋"/>
          <w:sz w:val="29"/>
          <w:szCs w:val="29"/>
        </w:rPr>
      </w:pPr>
      <w:r>
        <w:rPr>
          <w:rFonts w:ascii="仿宋" w:hAnsi="仿宋" w:eastAsia="仿宋" w:cs="仿宋"/>
          <w:spacing w:val="-4"/>
          <w:sz w:val="29"/>
          <w:szCs w:val="29"/>
        </w:rPr>
        <w:t>公开听证、舆情分析跟踪等方式。</w:t>
      </w:r>
    </w:p>
    <w:p>
      <w:pPr>
        <w:jc w:val="both"/>
        <w:sectPr>
          <w:footerReference r:id="rId5" w:type="default"/>
          <w:pgSz w:w="12190" w:h="17020"/>
          <w:pgMar w:top="1446" w:right="1828" w:bottom="1386" w:left="1828" w:header="0" w:footer="1207" w:gutter="0"/>
          <w:pgNumType w:fmt="decimal" w:start="1"/>
          <w:cols w:space="720" w:num="1"/>
        </w:sectPr>
      </w:pPr>
    </w:p>
    <w:p>
      <w:pPr>
        <w:spacing w:line="328" w:lineRule="auto"/>
        <w:rPr>
          <w:rFonts w:ascii="Arial"/>
          <w:sz w:val="21"/>
        </w:rPr>
      </w:pPr>
    </w:p>
    <w:p>
      <w:pPr>
        <w:spacing w:before="117" w:line="222" w:lineRule="auto"/>
        <w:ind w:left="2230"/>
        <w:outlineLvl w:val="0"/>
        <w:rPr>
          <w:rFonts w:ascii="黑体" w:hAnsi="黑体" w:eastAsia="黑体" w:cs="黑体"/>
          <w:sz w:val="36"/>
          <w:szCs w:val="36"/>
        </w:rPr>
      </w:pPr>
      <w:bookmarkStart w:id="11" w:name="_Toc6419"/>
      <w:r>
        <w:rPr>
          <w:rFonts w:ascii="黑体" w:hAnsi="黑体" w:eastAsia="黑体" w:cs="黑体"/>
          <w:b/>
          <w:bCs/>
          <w:spacing w:val="4"/>
          <w:sz w:val="36"/>
          <w:szCs w:val="36"/>
        </w:rPr>
        <w:t>第二部分风险评估内容</w:t>
      </w:r>
      <w:bookmarkEnd w:id="11"/>
    </w:p>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92" w:line="401" w:lineRule="auto"/>
        <w:ind w:left="54" w:right="216" w:firstLine="590"/>
        <w:jc w:val="both"/>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针对《若干措施》的内容，分别就合法性、合理性、可行性、可控性进行综合分析研判：</w:t>
      </w:r>
    </w:p>
    <w:p>
      <w:pPr>
        <w:spacing w:line="307" w:lineRule="auto"/>
        <w:rPr>
          <w:rFonts w:ascii="Arial"/>
          <w:sz w:val="21"/>
        </w:rPr>
      </w:pPr>
    </w:p>
    <w:p>
      <w:pPr>
        <w:spacing w:before="95" w:line="222" w:lineRule="auto"/>
        <w:ind w:left="619"/>
        <w:outlineLvl w:val="1"/>
        <w:rPr>
          <w:rFonts w:ascii="黑体" w:hAnsi="黑体" w:eastAsia="黑体" w:cs="黑体"/>
          <w:sz w:val="29"/>
          <w:szCs w:val="29"/>
        </w:rPr>
      </w:pPr>
      <w:bookmarkStart w:id="12" w:name="_Toc4240"/>
      <w:r>
        <w:rPr>
          <w:rFonts w:ascii="黑体" w:hAnsi="黑体" w:eastAsia="黑体" w:cs="黑体"/>
          <w:b/>
          <w:bCs/>
          <w:spacing w:val="1"/>
          <w:sz w:val="29"/>
          <w:szCs w:val="29"/>
        </w:rPr>
        <w:t>一、合法性评估</w:t>
      </w:r>
      <w:bookmarkEnd w:id="12"/>
    </w:p>
    <w:p>
      <w:pPr>
        <w:spacing w:line="314" w:lineRule="auto"/>
        <w:rPr>
          <w:rFonts w:ascii="Arial"/>
          <w:sz w:val="21"/>
        </w:rPr>
      </w:pPr>
    </w:p>
    <w:p>
      <w:pPr>
        <w:spacing w:before="92" w:line="401" w:lineRule="auto"/>
        <w:ind w:left="54" w:right="216" w:firstLine="590"/>
        <w:jc w:val="both"/>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合法性评估主要在于评判《若干措施》的相关主体、制定依据以及制定程序等是否符合相关法律法规的规定。</w:t>
      </w:r>
    </w:p>
    <w:p>
      <w:pPr>
        <w:spacing w:line="314" w:lineRule="auto"/>
        <w:rPr>
          <w:rFonts w:ascii="Arial"/>
          <w:sz w:val="21"/>
        </w:rPr>
      </w:pPr>
    </w:p>
    <w:p>
      <w:pPr>
        <w:spacing w:before="94" w:line="382" w:lineRule="auto"/>
        <w:ind w:left="39" w:right="254" w:firstLine="760"/>
        <w:jc w:val="both"/>
        <w:outlineLvl w:val="2"/>
        <w:rPr>
          <w:rFonts w:hint="eastAsia" w:ascii="黑体" w:hAnsi="黑体" w:eastAsia="黑体" w:cs="黑体"/>
          <w:b/>
          <w:bCs/>
          <w:spacing w:val="-11"/>
          <w:sz w:val="29"/>
          <w:szCs w:val="29"/>
          <w:lang w:val="en-US" w:eastAsia="zh-CN"/>
        </w:rPr>
      </w:pPr>
      <w:bookmarkStart w:id="13" w:name="_Toc15773"/>
      <w:r>
        <w:rPr>
          <w:rFonts w:hint="eastAsia" w:ascii="黑体" w:hAnsi="黑体" w:eastAsia="黑体" w:cs="黑体"/>
          <w:b/>
          <w:bCs/>
          <w:spacing w:val="-11"/>
          <w:sz w:val="29"/>
          <w:szCs w:val="29"/>
          <w:lang w:val="en-US" w:eastAsia="zh-CN"/>
        </w:rPr>
        <w:t>(一)决策承办单位主体资格</w:t>
      </w:r>
      <w:bookmarkEnd w:id="13"/>
    </w:p>
    <w:p>
      <w:pPr>
        <w:spacing w:line="298" w:lineRule="auto"/>
        <w:rPr>
          <w:rFonts w:ascii="Arial"/>
          <w:sz w:val="21"/>
        </w:rPr>
      </w:pPr>
    </w:p>
    <w:p>
      <w:pPr>
        <w:spacing w:before="94" w:line="382" w:lineRule="auto"/>
        <w:ind w:left="44" w:right="208" w:firstLine="575"/>
        <w:jc w:val="both"/>
        <w:rPr>
          <w:rFonts w:ascii="仿宋" w:hAnsi="仿宋" w:eastAsia="仿宋" w:cs="仿宋"/>
          <w:sz w:val="29"/>
          <w:szCs w:val="29"/>
        </w:rPr>
      </w:pPr>
      <w:r>
        <w:rPr>
          <w:rFonts w:ascii="仿宋" w:hAnsi="仿宋" w:eastAsia="仿宋" w:cs="仿宋"/>
          <w:spacing w:val="-2"/>
          <w:sz w:val="29"/>
          <w:szCs w:val="29"/>
        </w:rPr>
        <w:t>《</w:t>
      </w:r>
      <w:r>
        <w:rPr>
          <w:rFonts w:hint="eastAsia" w:ascii="仿宋" w:hAnsi="仿宋" w:eastAsia="仿宋" w:cs="仿宋"/>
          <w:spacing w:val="-2"/>
          <w:sz w:val="29"/>
          <w:szCs w:val="29"/>
        </w:rPr>
        <w:t>深圳市涉农资金统筹整合管理办法</w:t>
      </w:r>
      <w:r>
        <w:rPr>
          <w:rFonts w:ascii="仿宋" w:hAnsi="仿宋" w:eastAsia="仿宋" w:cs="仿宋"/>
          <w:spacing w:val="-2"/>
          <w:sz w:val="29"/>
          <w:szCs w:val="29"/>
        </w:rPr>
        <w:t>》第二</w:t>
      </w:r>
      <w:r>
        <w:rPr>
          <w:rFonts w:ascii="仿宋" w:hAnsi="仿宋" w:eastAsia="仿宋" w:cs="仿宋"/>
          <w:spacing w:val="-10"/>
          <w:sz w:val="29"/>
          <w:szCs w:val="29"/>
        </w:rPr>
        <w:t>条规定，“</w:t>
      </w:r>
      <w:r>
        <w:rPr>
          <w:rFonts w:hint="eastAsia" w:ascii="仿宋" w:hAnsi="仿宋" w:eastAsia="仿宋" w:cs="仿宋"/>
          <w:spacing w:val="-10"/>
          <w:sz w:val="29"/>
          <w:szCs w:val="29"/>
        </w:rPr>
        <w:t>涉农资金分为农业产业发展类、农村建设类、现代海洋渔业发展类、生态林业建设类和水利基础设施建设类等五类。每类资金对应由一个部门牵头负责，其中:农业产业发展类资金牵头部门为市市场监管局</w:t>
      </w:r>
      <w:r>
        <w:rPr>
          <w:rFonts w:ascii="仿宋" w:hAnsi="仿宋" w:eastAsia="仿宋" w:cs="仿宋"/>
          <w:spacing w:val="-2"/>
          <w:sz w:val="29"/>
          <w:szCs w:val="29"/>
        </w:rPr>
        <w:t>。”据此，深圳市市场监督管理局可以就《</w:t>
      </w:r>
      <w:r>
        <w:rPr>
          <w:rFonts w:hint="eastAsia" w:ascii="仿宋" w:hAnsi="仿宋" w:eastAsia="仿宋" w:cs="仿宋"/>
          <w:spacing w:val="-2"/>
          <w:sz w:val="29"/>
          <w:szCs w:val="29"/>
        </w:rPr>
        <w:t>深圳市市场监督管理局专项资金管理办法</w:t>
      </w:r>
      <w:r>
        <w:rPr>
          <w:rFonts w:ascii="仿宋" w:hAnsi="仿宋" w:eastAsia="仿宋" w:cs="仿宋"/>
          <w:spacing w:val="-13"/>
          <w:sz w:val="29"/>
          <w:szCs w:val="29"/>
        </w:rPr>
        <w:t>》制定具体实施细则</w:t>
      </w:r>
      <w:r>
        <w:rPr>
          <w:rFonts w:hint="eastAsia" w:ascii="仿宋" w:hAnsi="仿宋" w:eastAsia="仿宋" w:cs="仿宋"/>
          <w:spacing w:val="-13"/>
          <w:sz w:val="29"/>
          <w:szCs w:val="29"/>
          <w:lang w:eastAsia="zh-CN"/>
        </w:rPr>
        <w:t>。</w:t>
      </w:r>
      <w:r>
        <w:rPr>
          <w:rFonts w:ascii="仿宋" w:hAnsi="仿宋" w:eastAsia="仿宋" w:cs="仿宋"/>
          <w:spacing w:val="-13"/>
          <w:sz w:val="29"/>
          <w:szCs w:val="29"/>
        </w:rPr>
        <w:t>《重大行政决策程序暂行条例》第</w:t>
      </w:r>
      <w:r>
        <w:rPr>
          <w:rFonts w:ascii="仿宋" w:hAnsi="仿宋" w:eastAsia="仿宋" w:cs="仿宋"/>
          <w:spacing w:val="-2"/>
          <w:sz w:val="29"/>
          <w:szCs w:val="29"/>
        </w:rPr>
        <w:t>十一条规定，决策机关决定启动决策程序的，应当明确决</w:t>
      </w:r>
      <w:r>
        <w:rPr>
          <w:rFonts w:ascii="仿宋" w:hAnsi="仿宋" w:eastAsia="仿宋" w:cs="仿宋"/>
          <w:spacing w:val="-3"/>
          <w:sz w:val="29"/>
          <w:szCs w:val="29"/>
        </w:rPr>
        <w:t>策事项</w:t>
      </w:r>
      <w:r>
        <w:rPr>
          <w:rFonts w:ascii="仿宋" w:hAnsi="仿宋" w:eastAsia="仿宋" w:cs="仿宋"/>
          <w:spacing w:val="-2"/>
          <w:sz w:val="29"/>
          <w:szCs w:val="29"/>
        </w:rPr>
        <w:t>的承办单位，由决策承办单位负责重大行政决策草案</w:t>
      </w:r>
      <w:r>
        <w:rPr>
          <w:rFonts w:ascii="仿宋" w:hAnsi="仿宋" w:eastAsia="仿宋" w:cs="仿宋"/>
          <w:spacing w:val="-3"/>
          <w:sz w:val="29"/>
          <w:szCs w:val="29"/>
        </w:rPr>
        <w:t>的拟订等工</w:t>
      </w:r>
      <w:r>
        <w:rPr>
          <w:rFonts w:ascii="仿宋" w:hAnsi="仿宋" w:eastAsia="仿宋" w:cs="仿宋"/>
          <w:spacing w:val="-2"/>
          <w:sz w:val="29"/>
          <w:szCs w:val="29"/>
        </w:rPr>
        <w:t>作。因此，深圳市市场监督管理局具有</w:t>
      </w:r>
      <w:r>
        <w:rPr>
          <w:rFonts w:hint="eastAsia" w:ascii="仿宋" w:hAnsi="仿宋" w:eastAsia="仿宋" w:cs="仿宋"/>
          <w:spacing w:val="-2"/>
          <w:sz w:val="29"/>
          <w:szCs w:val="29"/>
          <w:lang w:val="en-US" w:eastAsia="zh-CN"/>
        </w:rPr>
        <w:t>《若干措施》</w:t>
      </w:r>
      <w:r>
        <w:rPr>
          <w:rFonts w:ascii="仿宋" w:hAnsi="仿宋" w:eastAsia="仿宋" w:cs="仿宋"/>
          <w:spacing w:val="-2"/>
          <w:sz w:val="29"/>
          <w:szCs w:val="29"/>
        </w:rPr>
        <w:t>的承办</w:t>
      </w:r>
      <w:r>
        <w:rPr>
          <w:rFonts w:ascii="仿宋" w:hAnsi="仿宋" w:eastAsia="仿宋" w:cs="仿宋"/>
          <w:spacing w:val="-5"/>
          <w:sz w:val="29"/>
          <w:szCs w:val="29"/>
        </w:rPr>
        <w:t>单位主体资格。</w:t>
      </w:r>
    </w:p>
    <w:p>
      <w:pPr>
        <w:jc w:val="both"/>
        <w:sectPr>
          <w:footerReference r:id="rId6" w:type="default"/>
          <w:pgSz w:w="11900" w:h="16820"/>
          <w:pgMar w:top="1429" w:right="1785" w:bottom="1238" w:left="1785" w:header="0" w:footer="1041" w:gutter="0"/>
          <w:pgNumType w:fmt="decimal"/>
          <w:cols w:space="720" w:num="1"/>
        </w:sectPr>
      </w:pPr>
    </w:p>
    <w:p>
      <w:pPr>
        <w:spacing w:line="390" w:lineRule="auto"/>
        <w:rPr>
          <w:rFonts w:ascii="Arial"/>
          <w:sz w:val="21"/>
        </w:rPr>
      </w:pPr>
    </w:p>
    <w:p>
      <w:pPr>
        <w:spacing w:before="94" w:line="382" w:lineRule="auto"/>
        <w:ind w:left="39" w:right="254" w:firstLine="760"/>
        <w:jc w:val="both"/>
        <w:outlineLvl w:val="2"/>
        <w:rPr>
          <w:rFonts w:hint="eastAsia" w:ascii="黑体" w:hAnsi="黑体" w:eastAsia="黑体" w:cs="黑体"/>
          <w:b/>
          <w:bCs/>
          <w:spacing w:val="-11"/>
          <w:sz w:val="29"/>
          <w:szCs w:val="29"/>
          <w:lang w:val="en-US" w:eastAsia="zh-CN"/>
        </w:rPr>
      </w:pPr>
      <w:bookmarkStart w:id="14" w:name="_Toc22429"/>
      <w:r>
        <w:rPr>
          <w:rFonts w:hint="eastAsia" w:ascii="黑体" w:hAnsi="黑体" w:eastAsia="黑体" w:cs="黑体"/>
          <w:b/>
          <w:bCs/>
          <w:spacing w:val="-11"/>
          <w:sz w:val="29"/>
          <w:szCs w:val="29"/>
          <w:lang w:val="en-US" w:eastAsia="zh-CN"/>
        </w:rPr>
        <w:t>(二)制定依据</w:t>
      </w:r>
      <w:bookmarkEnd w:id="14"/>
    </w:p>
    <w:p>
      <w:pPr>
        <w:spacing w:line="317" w:lineRule="auto"/>
        <w:rPr>
          <w:rFonts w:ascii="Arial"/>
          <w:sz w:val="21"/>
        </w:rPr>
      </w:pPr>
    </w:p>
    <w:p>
      <w:pPr>
        <w:spacing w:before="94" w:line="382" w:lineRule="auto"/>
        <w:ind w:left="173" w:right="225" w:firstLine="574"/>
        <w:jc w:val="both"/>
        <w:rPr>
          <w:rFonts w:ascii="仿宋" w:hAnsi="仿宋" w:eastAsia="仿宋" w:cs="仿宋"/>
          <w:sz w:val="29"/>
          <w:szCs w:val="29"/>
        </w:rPr>
      </w:pPr>
      <w:r>
        <w:rPr>
          <w:rFonts w:hint="eastAsia" w:ascii="仿宋" w:hAnsi="仿宋" w:eastAsia="仿宋" w:cs="仿宋"/>
          <w:spacing w:val="-4"/>
          <w:sz w:val="29"/>
          <w:szCs w:val="29"/>
        </w:rPr>
        <w:t>《深圳国际食品谷发展规划（2021-2035年）》《关于打造农业科技创新先行示范区的若干措施》</w:t>
      </w:r>
      <w:r>
        <w:rPr>
          <w:rFonts w:ascii="仿宋" w:hAnsi="仿宋" w:eastAsia="仿宋" w:cs="仿宋"/>
          <w:spacing w:val="-4"/>
          <w:sz w:val="29"/>
          <w:szCs w:val="29"/>
        </w:rPr>
        <w:t>已于</w:t>
      </w:r>
      <w:r>
        <w:rPr>
          <w:rFonts w:ascii="仿宋" w:hAnsi="仿宋" w:eastAsia="仿宋" w:cs="仿宋"/>
          <w:spacing w:val="-5"/>
          <w:sz w:val="29"/>
          <w:szCs w:val="29"/>
        </w:rPr>
        <w:t>202</w:t>
      </w:r>
      <w:r>
        <w:rPr>
          <w:rFonts w:hint="eastAsia" w:ascii="仿宋" w:hAnsi="仿宋" w:eastAsia="仿宋" w:cs="仿宋"/>
          <w:spacing w:val="-5"/>
          <w:sz w:val="29"/>
          <w:szCs w:val="29"/>
          <w:lang w:val="en-US" w:eastAsia="zh-CN"/>
        </w:rPr>
        <w:t>1</w:t>
      </w:r>
      <w:r>
        <w:rPr>
          <w:rFonts w:ascii="仿宋" w:hAnsi="仿宋" w:eastAsia="仿宋" w:cs="仿宋"/>
          <w:spacing w:val="12"/>
          <w:sz w:val="29"/>
          <w:szCs w:val="29"/>
        </w:rPr>
        <w:t>年</w:t>
      </w:r>
      <w:r>
        <w:rPr>
          <w:rFonts w:hint="eastAsia" w:ascii="仿宋" w:hAnsi="仿宋" w:eastAsia="仿宋" w:cs="仿宋"/>
          <w:spacing w:val="12"/>
          <w:sz w:val="29"/>
          <w:szCs w:val="29"/>
          <w:lang w:val="en-US" w:eastAsia="zh-CN"/>
        </w:rPr>
        <w:t>3</w:t>
      </w:r>
      <w:r>
        <w:rPr>
          <w:rFonts w:ascii="仿宋" w:hAnsi="仿宋" w:eastAsia="仿宋" w:cs="仿宋"/>
          <w:spacing w:val="12"/>
          <w:sz w:val="29"/>
          <w:szCs w:val="29"/>
        </w:rPr>
        <w:t>月</w:t>
      </w:r>
      <w:r>
        <w:rPr>
          <w:rFonts w:hint="eastAsia" w:ascii="仿宋" w:hAnsi="仿宋" w:eastAsia="仿宋" w:cs="仿宋"/>
          <w:spacing w:val="12"/>
          <w:sz w:val="29"/>
          <w:szCs w:val="29"/>
          <w:lang w:eastAsia="zh-CN"/>
        </w:rPr>
        <w:t>、</w:t>
      </w:r>
      <w:r>
        <w:rPr>
          <w:rFonts w:hint="eastAsia" w:ascii="仿宋" w:hAnsi="仿宋" w:eastAsia="仿宋" w:cs="仿宋"/>
          <w:spacing w:val="12"/>
          <w:sz w:val="29"/>
          <w:szCs w:val="29"/>
          <w:lang w:val="en-US" w:eastAsia="zh-CN"/>
        </w:rPr>
        <w:t>9月</w:t>
      </w:r>
      <w:r>
        <w:rPr>
          <w:rFonts w:ascii="仿宋" w:hAnsi="仿宋" w:eastAsia="仿宋" w:cs="仿宋"/>
          <w:spacing w:val="12"/>
          <w:sz w:val="29"/>
          <w:szCs w:val="29"/>
        </w:rPr>
        <w:t>颁布施行，制定</w:t>
      </w:r>
      <w:r>
        <w:rPr>
          <w:rFonts w:hint="eastAsia" w:ascii="仿宋" w:hAnsi="仿宋" w:eastAsia="仿宋" w:cs="仿宋"/>
          <w:spacing w:val="12"/>
          <w:sz w:val="29"/>
          <w:szCs w:val="29"/>
          <w:lang w:val="en-US" w:eastAsia="zh-CN"/>
        </w:rPr>
        <w:t>《若干措施》</w:t>
      </w:r>
      <w:r>
        <w:rPr>
          <w:rFonts w:ascii="仿宋" w:hAnsi="仿宋" w:eastAsia="仿宋" w:cs="仿宋"/>
          <w:spacing w:val="12"/>
          <w:sz w:val="29"/>
          <w:szCs w:val="29"/>
        </w:rPr>
        <w:t>的</w:t>
      </w:r>
      <w:r>
        <w:rPr>
          <w:rFonts w:ascii="仿宋" w:hAnsi="仿宋" w:eastAsia="仿宋" w:cs="仿宋"/>
          <w:spacing w:val="11"/>
          <w:sz w:val="29"/>
          <w:szCs w:val="29"/>
        </w:rPr>
        <w:t>目的亦是结合</w:t>
      </w:r>
      <w:r>
        <w:rPr>
          <w:rFonts w:ascii="仿宋" w:hAnsi="仿宋" w:eastAsia="仿宋" w:cs="仿宋"/>
          <w:spacing w:val="-4"/>
          <w:sz w:val="29"/>
          <w:szCs w:val="29"/>
        </w:rPr>
        <w:t>深圳实际情况</w:t>
      </w:r>
      <w:r>
        <w:rPr>
          <w:rFonts w:hint="eastAsia" w:ascii="仿宋" w:hAnsi="仿宋" w:eastAsia="仿宋" w:cs="仿宋"/>
          <w:spacing w:val="-4"/>
          <w:sz w:val="29"/>
          <w:szCs w:val="29"/>
        </w:rPr>
        <w:t>制定新的农业领域资金管理办法</w:t>
      </w:r>
      <w:r>
        <w:rPr>
          <w:rFonts w:ascii="仿宋" w:hAnsi="仿宋" w:eastAsia="仿宋" w:cs="仿宋"/>
          <w:spacing w:val="-4"/>
          <w:sz w:val="29"/>
          <w:szCs w:val="29"/>
        </w:rPr>
        <w:t>，为</w:t>
      </w:r>
      <w:r>
        <w:rPr>
          <w:rFonts w:hint="eastAsia" w:ascii="仿宋" w:hAnsi="仿宋" w:eastAsia="仿宋" w:cs="仿宋"/>
          <w:spacing w:val="-4"/>
          <w:sz w:val="29"/>
          <w:szCs w:val="29"/>
          <w:lang w:val="en-US" w:eastAsia="zh-CN"/>
        </w:rPr>
        <w:t>深圳市现代农业高质量发展</w:t>
      </w:r>
      <w:r>
        <w:rPr>
          <w:rFonts w:ascii="仿宋" w:hAnsi="仿宋" w:eastAsia="仿宋" w:cs="仿宋"/>
          <w:spacing w:val="-14"/>
          <w:sz w:val="29"/>
          <w:szCs w:val="29"/>
        </w:rPr>
        <w:t>提供明晰的、法定化的指</w:t>
      </w:r>
      <w:r>
        <w:rPr>
          <w:rFonts w:ascii="仿宋" w:hAnsi="仿宋" w:eastAsia="仿宋" w:cs="仿宋"/>
          <w:spacing w:val="-15"/>
          <w:sz w:val="29"/>
          <w:szCs w:val="29"/>
        </w:rPr>
        <w:t>引，符合</w:t>
      </w:r>
      <w:r>
        <w:rPr>
          <w:rFonts w:hint="eastAsia" w:ascii="仿宋" w:hAnsi="仿宋" w:eastAsia="仿宋" w:cs="仿宋"/>
          <w:spacing w:val="-4"/>
          <w:sz w:val="29"/>
          <w:szCs w:val="29"/>
        </w:rPr>
        <w:t>《深圳国际食品谷发展规划（2021-2035年）》《关于打造农业科技创新先行示范区的若干措施》</w:t>
      </w:r>
      <w:r>
        <w:rPr>
          <w:rFonts w:ascii="仿宋" w:hAnsi="仿宋" w:eastAsia="仿宋" w:cs="仿宋"/>
          <w:spacing w:val="-4"/>
          <w:sz w:val="29"/>
          <w:szCs w:val="29"/>
        </w:rPr>
        <w:t>的规定，且</w:t>
      </w:r>
      <w:r>
        <w:rPr>
          <w:rFonts w:hint="eastAsia" w:ascii="仿宋" w:hAnsi="仿宋" w:eastAsia="仿宋" w:cs="仿宋"/>
          <w:spacing w:val="-3"/>
          <w:sz w:val="29"/>
          <w:szCs w:val="29"/>
          <w:lang w:val="en-US" w:eastAsia="zh-CN"/>
        </w:rPr>
        <w:t>《若干措施》</w:t>
      </w:r>
      <w:r>
        <w:rPr>
          <w:rFonts w:ascii="仿宋" w:hAnsi="仿宋" w:eastAsia="仿宋" w:cs="仿宋"/>
          <w:spacing w:val="-3"/>
          <w:sz w:val="29"/>
          <w:szCs w:val="29"/>
        </w:rPr>
        <w:t>明确以</w:t>
      </w:r>
      <w:r>
        <w:rPr>
          <w:rFonts w:hint="eastAsia" w:ascii="仿宋" w:hAnsi="仿宋" w:eastAsia="仿宋" w:cs="仿宋"/>
          <w:spacing w:val="-4"/>
          <w:sz w:val="29"/>
          <w:szCs w:val="29"/>
        </w:rPr>
        <w:t>《深圳国际食品谷发展规划（2021-2035年）》《关于打造农业科技创新先行示范区的若干措施》</w:t>
      </w:r>
      <w:r>
        <w:rPr>
          <w:rFonts w:hint="eastAsia" w:ascii="仿宋" w:hAnsi="仿宋" w:eastAsia="仿宋" w:cs="仿宋"/>
          <w:spacing w:val="-4"/>
          <w:sz w:val="29"/>
          <w:szCs w:val="29"/>
          <w:lang w:val="en-US" w:eastAsia="zh-CN"/>
        </w:rPr>
        <w:t>等</w:t>
      </w:r>
      <w:r>
        <w:rPr>
          <w:rFonts w:ascii="仿宋" w:hAnsi="仿宋" w:eastAsia="仿宋" w:cs="仿宋"/>
          <w:spacing w:val="-12"/>
          <w:sz w:val="29"/>
          <w:szCs w:val="29"/>
        </w:rPr>
        <w:t>为制定依据。故</w:t>
      </w:r>
      <w:r>
        <w:rPr>
          <w:rFonts w:hint="eastAsia" w:ascii="仿宋" w:hAnsi="仿宋" w:eastAsia="仿宋" w:cs="仿宋"/>
          <w:spacing w:val="-12"/>
          <w:sz w:val="29"/>
          <w:szCs w:val="29"/>
          <w:lang w:val="en-US" w:eastAsia="zh-CN"/>
        </w:rPr>
        <w:t>《若干措施》</w:t>
      </w:r>
      <w:r>
        <w:rPr>
          <w:rFonts w:ascii="仿宋" w:hAnsi="仿宋" w:eastAsia="仿宋" w:cs="仿宋"/>
          <w:spacing w:val="-12"/>
          <w:sz w:val="29"/>
          <w:szCs w:val="29"/>
        </w:rPr>
        <w:t>有明确的上位法依据。</w:t>
      </w:r>
    </w:p>
    <w:p>
      <w:pPr>
        <w:spacing w:line="343" w:lineRule="auto"/>
        <w:rPr>
          <w:rFonts w:ascii="Arial"/>
          <w:sz w:val="21"/>
        </w:rPr>
      </w:pPr>
    </w:p>
    <w:p>
      <w:pPr>
        <w:spacing w:before="94" w:line="382" w:lineRule="auto"/>
        <w:ind w:left="39" w:right="254" w:firstLine="760"/>
        <w:jc w:val="both"/>
        <w:outlineLvl w:val="2"/>
        <w:rPr>
          <w:rFonts w:hint="eastAsia" w:ascii="黑体" w:hAnsi="黑体" w:eastAsia="黑体" w:cs="黑体"/>
          <w:b/>
          <w:bCs/>
          <w:spacing w:val="-11"/>
          <w:sz w:val="29"/>
          <w:szCs w:val="29"/>
          <w:lang w:val="en-US" w:eastAsia="zh-CN"/>
        </w:rPr>
      </w:pPr>
      <w:bookmarkStart w:id="15" w:name="_Toc21273"/>
      <w:r>
        <w:rPr>
          <w:rFonts w:hint="eastAsia" w:ascii="黑体" w:hAnsi="黑体" w:eastAsia="黑体" w:cs="黑体"/>
          <w:b/>
          <w:bCs/>
          <w:spacing w:val="-11"/>
          <w:sz w:val="29"/>
          <w:szCs w:val="29"/>
          <w:lang w:val="en-US" w:eastAsia="zh-CN"/>
        </w:rPr>
        <w:t>(三)制定程序</w:t>
      </w:r>
      <w:bookmarkEnd w:id="15"/>
    </w:p>
    <w:p>
      <w:pPr>
        <w:spacing w:line="317" w:lineRule="auto"/>
        <w:rPr>
          <w:rFonts w:ascii="Arial"/>
          <w:sz w:val="21"/>
        </w:rPr>
      </w:pPr>
    </w:p>
    <w:p>
      <w:pPr>
        <w:spacing w:before="94" w:line="382" w:lineRule="auto"/>
        <w:ind w:left="173" w:right="109" w:firstLine="590"/>
        <w:jc w:val="both"/>
        <w:rPr>
          <w:rFonts w:ascii="仿宋" w:hAnsi="仿宋" w:eastAsia="仿宋" w:cs="仿宋"/>
          <w:sz w:val="29"/>
          <w:szCs w:val="29"/>
        </w:rPr>
      </w:pPr>
      <w:r>
        <w:rPr>
          <w:rFonts w:ascii="仿宋" w:hAnsi="仿宋" w:eastAsia="仿宋" w:cs="仿宋"/>
          <w:spacing w:val="-10"/>
          <w:sz w:val="29"/>
          <w:szCs w:val="29"/>
        </w:rPr>
        <w:t>如前所述，</w:t>
      </w:r>
      <w:r>
        <w:rPr>
          <w:rFonts w:hint="eastAsia" w:ascii="仿宋" w:hAnsi="仿宋" w:eastAsia="仿宋" w:cs="仿宋"/>
          <w:spacing w:val="-10"/>
          <w:sz w:val="29"/>
          <w:szCs w:val="29"/>
          <w:lang w:val="en-US" w:eastAsia="zh-CN"/>
        </w:rPr>
        <w:t>《若干措施》</w:t>
      </w:r>
      <w:r>
        <w:rPr>
          <w:rFonts w:ascii="仿宋" w:hAnsi="仿宋" w:eastAsia="仿宋" w:cs="仿宋"/>
          <w:spacing w:val="-10"/>
          <w:sz w:val="29"/>
          <w:szCs w:val="29"/>
        </w:rPr>
        <w:t>由深圳市市场监督</w:t>
      </w:r>
      <w:r>
        <w:rPr>
          <w:rFonts w:ascii="仿宋" w:hAnsi="仿宋" w:eastAsia="仿宋" w:cs="仿宋"/>
          <w:spacing w:val="-11"/>
          <w:sz w:val="29"/>
          <w:szCs w:val="29"/>
        </w:rPr>
        <w:t>管理局起草。</w:t>
      </w:r>
      <w:r>
        <w:rPr>
          <w:rFonts w:ascii="仿宋" w:hAnsi="仿宋" w:eastAsia="仿宋" w:cs="仿宋"/>
          <w:spacing w:val="-4"/>
          <w:sz w:val="29"/>
          <w:szCs w:val="29"/>
        </w:rPr>
        <w:t>期间历经起草单位内部意见征求阶段、社会公众公开征求意见阶段、组织听证阶段以及专家论证阶段，并委托第三方进行风险评</w:t>
      </w:r>
      <w:r>
        <w:rPr>
          <w:rFonts w:ascii="仿宋" w:hAnsi="仿宋" w:eastAsia="仿宋" w:cs="仿宋"/>
          <w:spacing w:val="-3"/>
          <w:sz w:val="29"/>
          <w:szCs w:val="29"/>
        </w:rPr>
        <w:t>估，符合《深圳市人民政府重大行政决策程序规定》第四</w:t>
      </w:r>
      <w:r>
        <w:rPr>
          <w:rFonts w:ascii="仿宋" w:hAnsi="仿宋" w:eastAsia="仿宋" w:cs="仿宋"/>
          <w:spacing w:val="-4"/>
          <w:sz w:val="29"/>
          <w:szCs w:val="29"/>
        </w:rPr>
        <w:t>条、第</w:t>
      </w:r>
      <w:r>
        <w:rPr>
          <w:rFonts w:ascii="仿宋" w:hAnsi="仿宋" w:eastAsia="仿宋" w:cs="仿宋"/>
          <w:spacing w:val="-2"/>
          <w:sz w:val="29"/>
          <w:szCs w:val="29"/>
        </w:rPr>
        <w:t>五条、第六条、第八条、第九条、第十条的相关程序规定。</w:t>
      </w:r>
    </w:p>
    <w:p>
      <w:pPr>
        <w:spacing w:line="323" w:lineRule="auto"/>
        <w:rPr>
          <w:rFonts w:ascii="Arial"/>
          <w:sz w:val="21"/>
        </w:rPr>
      </w:pPr>
    </w:p>
    <w:p>
      <w:pPr>
        <w:spacing w:before="94" w:line="222" w:lineRule="auto"/>
        <w:ind w:left="768"/>
        <w:outlineLvl w:val="1"/>
        <w:rPr>
          <w:rFonts w:ascii="黑体" w:hAnsi="黑体" w:eastAsia="黑体" w:cs="黑体"/>
          <w:sz w:val="29"/>
          <w:szCs w:val="29"/>
        </w:rPr>
      </w:pPr>
      <w:bookmarkStart w:id="16" w:name="_Toc15712"/>
      <w:r>
        <w:rPr>
          <w:rFonts w:ascii="黑体" w:hAnsi="黑体" w:eastAsia="黑体" w:cs="黑体"/>
          <w:b/>
          <w:bCs/>
          <w:spacing w:val="-13"/>
          <w:sz w:val="29"/>
          <w:szCs w:val="29"/>
        </w:rPr>
        <w:t>二、合理性评估</w:t>
      </w:r>
      <w:bookmarkEnd w:id="16"/>
    </w:p>
    <w:p>
      <w:pPr>
        <w:spacing w:line="314" w:lineRule="auto"/>
        <w:rPr>
          <w:rFonts w:ascii="Arial"/>
          <w:sz w:val="21"/>
        </w:rPr>
      </w:pPr>
    </w:p>
    <w:p>
      <w:pPr>
        <w:spacing w:before="94" w:line="382" w:lineRule="auto"/>
        <w:ind w:left="173" w:right="109" w:firstLine="590"/>
        <w:jc w:val="both"/>
        <w:rPr>
          <w:rFonts w:ascii="仿宋" w:hAnsi="仿宋" w:eastAsia="仿宋" w:cs="仿宋"/>
          <w:spacing w:val="-11"/>
          <w:sz w:val="29"/>
          <w:szCs w:val="29"/>
        </w:rPr>
      </w:pPr>
      <w:r>
        <w:rPr>
          <w:rFonts w:ascii="仿宋" w:hAnsi="仿宋" w:eastAsia="仿宋" w:cs="仿宋"/>
          <w:spacing w:val="-11"/>
          <w:sz w:val="29"/>
          <w:szCs w:val="29"/>
        </w:rPr>
        <w:t>合理性评估在于评判</w:t>
      </w:r>
      <w:r>
        <w:rPr>
          <w:rFonts w:hint="eastAsia" w:ascii="仿宋" w:hAnsi="仿宋" w:eastAsia="仿宋" w:cs="仿宋"/>
          <w:spacing w:val="-11"/>
          <w:sz w:val="29"/>
          <w:szCs w:val="29"/>
          <w:lang w:val="en-US" w:eastAsia="zh-CN"/>
        </w:rPr>
        <w:t>《若干措施》</w:t>
      </w:r>
      <w:r>
        <w:rPr>
          <w:rFonts w:ascii="仿宋" w:hAnsi="仿宋" w:eastAsia="仿宋" w:cs="仿宋"/>
          <w:spacing w:val="-11"/>
          <w:sz w:val="29"/>
          <w:szCs w:val="29"/>
        </w:rPr>
        <w:t>是否与本地经济社会发展相适应，是否会</w:t>
      </w:r>
      <w:r>
        <w:rPr>
          <w:rFonts w:hint="eastAsia" w:ascii="仿宋" w:hAnsi="仿宋" w:eastAsia="仿宋" w:cs="仿宋"/>
          <w:spacing w:val="-11"/>
          <w:sz w:val="29"/>
          <w:szCs w:val="29"/>
          <w:lang w:val="en-US" w:eastAsia="zh-CN"/>
        </w:rPr>
        <w:t>推动和支持深圳市现代农业高质量发展</w:t>
      </w:r>
      <w:r>
        <w:rPr>
          <w:rFonts w:ascii="仿宋" w:hAnsi="仿宋" w:eastAsia="仿宋" w:cs="仿宋"/>
          <w:spacing w:val="-11"/>
          <w:sz w:val="29"/>
          <w:szCs w:val="29"/>
        </w:rPr>
        <w:t>，具体而言，就是</w:t>
      </w:r>
      <w:r>
        <w:rPr>
          <w:rFonts w:hint="eastAsia" w:ascii="仿宋" w:hAnsi="仿宋" w:eastAsia="仿宋" w:cs="仿宋"/>
          <w:spacing w:val="-11"/>
          <w:sz w:val="29"/>
          <w:szCs w:val="29"/>
          <w:lang w:val="en-US" w:eastAsia="zh-CN"/>
        </w:rPr>
        <w:t>《若干措施》</w:t>
      </w:r>
      <w:r>
        <w:rPr>
          <w:rFonts w:ascii="仿宋" w:hAnsi="仿宋" w:eastAsia="仿宋" w:cs="仿宋"/>
          <w:spacing w:val="-11"/>
          <w:sz w:val="29"/>
          <w:szCs w:val="29"/>
        </w:rPr>
        <w:t>制定的必要性。综合当前的起草情况及</w:t>
      </w:r>
      <w:r>
        <w:rPr>
          <w:rFonts w:hint="eastAsia" w:ascii="仿宋" w:hAnsi="仿宋" w:eastAsia="仿宋" w:cs="仿宋"/>
          <w:spacing w:val="-11"/>
          <w:sz w:val="29"/>
          <w:szCs w:val="29"/>
          <w:lang w:val="en-US" w:eastAsia="zh-CN"/>
        </w:rPr>
        <w:t>深圳市现代农业发展</w:t>
      </w:r>
      <w:r>
        <w:rPr>
          <w:rFonts w:ascii="仿宋" w:hAnsi="仿宋" w:eastAsia="仿宋" w:cs="仿宋"/>
          <w:spacing w:val="-11"/>
          <w:sz w:val="29"/>
          <w:szCs w:val="29"/>
        </w:rPr>
        <w:t>实际情况</w:t>
      </w:r>
      <w:r>
        <w:rPr>
          <w:rFonts w:hint="eastAsia" w:ascii="仿宋" w:hAnsi="仿宋" w:eastAsia="仿宋" w:cs="仿宋"/>
          <w:spacing w:val="-11"/>
          <w:sz w:val="29"/>
          <w:szCs w:val="29"/>
          <w:lang w:eastAsia="zh-CN"/>
        </w:rPr>
        <w:t>，《</w:t>
      </w:r>
      <w:r>
        <w:rPr>
          <w:rFonts w:hint="eastAsia" w:ascii="仿宋" w:hAnsi="仿宋" w:eastAsia="仿宋" w:cs="仿宋"/>
          <w:spacing w:val="-11"/>
          <w:sz w:val="29"/>
          <w:szCs w:val="29"/>
          <w:lang w:val="en-US" w:eastAsia="zh-CN"/>
        </w:rPr>
        <w:t>若干措施</w:t>
      </w:r>
      <w:r>
        <w:rPr>
          <w:rFonts w:hint="eastAsia" w:ascii="仿宋" w:hAnsi="仿宋" w:eastAsia="仿宋" w:cs="仿宋"/>
          <w:spacing w:val="-11"/>
          <w:sz w:val="29"/>
          <w:szCs w:val="29"/>
          <w:lang w:eastAsia="zh-CN"/>
        </w:rPr>
        <w:t>》</w:t>
      </w:r>
      <w:r>
        <w:rPr>
          <w:rFonts w:ascii="仿宋" w:hAnsi="仿宋" w:eastAsia="仿宋" w:cs="仿宋"/>
          <w:spacing w:val="-11"/>
          <w:sz w:val="29"/>
          <w:szCs w:val="29"/>
        </w:rPr>
        <w:t>制定的必要性可归纳为以下三个</w:t>
      </w:r>
      <w:r>
        <w:rPr>
          <w:rFonts w:hint="eastAsia" w:ascii="仿宋" w:hAnsi="仿宋" w:eastAsia="仿宋" w:cs="仿宋"/>
          <w:spacing w:val="-11"/>
          <w:sz w:val="29"/>
          <w:szCs w:val="29"/>
          <w:lang w:val="en-US" w:eastAsia="zh-CN"/>
        </w:rPr>
        <w:t>方面：</w:t>
      </w:r>
    </w:p>
    <w:p>
      <w:pPr>
        <w:spacing w:line="339" w:lineRule="auto"/>
        <w:rPr>
          <w:rFonts w:ascii="Arial"/>
          <w:sz w:val="21"/>
        </w:rPr>
      </w:pPr>
    </w:p>
    <w:p>
      <w:pPr>
        <w:spacing w:before="94" w:line="382" w:lineRule="auto"/>
        <w:ind w:left="39" w:right="254" w:firstLine="760"/>
        <w:jc w:val="both"/>
        <w:outlineLvl w:val="2"/>
        <w:rPr>
          <w:rFonts w:hint="eastAsia" w:ascii="黑体" w:hAnsi="黑体" w:eastAsia="黑体" w:cs="黑体"/>
          <w:b/>
          <w:bCs/>
          <w:spacing w:val="-11"/>
          <w:sz w:val="29"/>
          <w:szCs w:val="29"/>
          <w:lang w:val="en-US" w:eastAsia="zh-CN"/>
        </w:rPr>
      </w:pPr>
      <w:bookmarkStart w:id="17" w:name="_Toc31948"/>
      <w:r>
        <w:rPr>
          <w:rFonts w:hint="eastAsia" w:ascii="黑体" w:hAnsi="黑体" w:eastAsia="黑体" w:cs="黑体"/>
          <w:b/>
          <w:bCs/>
          <w:spacing w:val="-11"/>
          <w:sz w:val="29"/>
          <w:szCs w:val="29"/>
          <w:lang w:val="en-US" w:eastAsia="zh-CN"/>
        </w:rPr>
        <w:t>(一)实现现代农业产业高质量发展的重大举措</w:t>
      </w:r>
      <w:bookmarkEnd w:id="17"/>
    </w:p>
    <w:p>
      <w:pPr>
        <w:spacing w:line="309" w:lineRule="auto"/>
        <w:rPr>
          <w:rFonts w:ascii="Arial"/>
          <w:sz w:val="21"/>
        </w:rPr>
      </w:pPr>
    </w:p>
    <w:p>
      <w:pPr>
        <w:spacing w:before="94" w:line="382" w:lineRule="auto"/>
        <w:ind w:left="173" w:right="109" w:firstLine="590"/>
        <w:jc w:val="both"/>
        <w:rPr>
          <w:rFonts w:ascii="仿宋" w:hAnsi="仿宋" w:eastAsia="仿宋" w:cs="仿宋"/>
          <w:spacing w:val="-11"/>
          <w:sz w:val="29"/>
          <w:szCs w:val="29"/>
        </w:rPr>
      </w:pPr>
      <w:r>
        <w:rPr>
          <w:rFonts w:hint="eastAsia" w:ascii="仿宋" w:hAnsi="仿宋" w:eastAsia="仿宋" w:cs="仿宋"/>
          <w:spacing w:val="-11"/>
          <w:sz w:val="29"/>
          <w:szCs w:val="29"/>
        </w:rPr>
        <w:t>支持现代农业高质量发展政策体系文件以习近平新时代中国特色社会主义思想为指导，贯彻落实党的二十大决策部署，强化建设农业强国、保障“粮食安全”、守住耕地红线、推动种业振兴、加强农业科技和装备支撑，树立大食物观，构建多元化食物供给体系，培育现代农业服务业新体系等战略部署。充分认识在当前“百年未有之大变局”背景下发展现代农业的重要性和紧迫性，抢抓建设粤港澳大湾区和支持深圳建设中国特色社会主义先行示范区“双区”驱动重大历史机遇，加快建设“农业科技创新先行示范区”“深圳国际食品谷”，推动“科技链、产业链、民生供应链、质量监管链及资金链”五链融合，探索深圳特色的新产业新业态新模式发展路径，全面提升“研发、生产、加工、制造、流通、服务”全产业链融合发展价值，进一步满足社会消费升级需求，实现现代农业产业高质量发展。</w:t>
      </w:r>
    </w:p>
    <w:p>
      <w:pPr>
        <w:spacing w:line="365" w:lineRule="auto"/>
        <w:rPr>
          <w:rFonts w:ascii="Arial"/>
          <w:sz w:val="21"/>
        </w:rPr>
      </w:pPr>
    </w:p>
    <w:p>
      <w:pPr>
        <w:spacing w:before="94" w:line="382" w:lineRule="auto"/>
        <w:ind w:left="39" w:right="254" w:firstLine="760"/>
        <w:jc w:val="both"/>
        <w:outlineLvl w:val="2"/>
        <w:rPr>
          <w:rFonts w:hint="eastAsia" w:ascii="黑体" w:hAnsi="黑体" w:eastAsia="黑体" w:cs="黑体"/>
          <w:b/>
          <w:bCs/>
          <w:spacing w:val="-11"/>
          <w:sz w:val="29"/>
          <w:szCs w:val="29"/>
          <w:lang w:val="en-US" w:eastAsia="zh-CN"/>
        </w:rPr>
      </w:pPr>
      <w:bookmarkStart w:id="18" w:name="_Toc18036"/>
      <w:r>
        <w:rPr>
          <w:rFonts w:hint="eastAsia" w:ascii="黑体" w:hAnsi="黑体" w:eastAsia="黑体" w:cs="黑体"/>
          <w:b/>
          <w:bCs/>
          <w:spacing w:val="-11"/>
          <w:sz w:val="29"/>
          <w:szCs w:val="29"/>
          <w:lang w:val="en-US" w:eastAsia="zh-CN"/>
        </w:rPr>
        <w:t>(二)当前现代农业发展现状对农业扶持政策的实际需要</w:t>
      </w:r>
      <w:bookmarkEnd w:id="18"/>
    </w:p>
    <w:p>
      <w:pPr>
        <w:spacing w:line="322" w:lineRule="auto"/>
        <w:rPr>
          <w:rFonts w:ascii="Arial"/>
          <w:sz w:val="21"/>
        </w:rPr>
      </w:pPr>
    </w:p>
    <w:p>
      <w:pPr>
        <w:spacing w:line="330" w:lineRule="auto"/>
        <w:rPr>
          <w:rFonts w:ascii="Arial"/>
          <w:sz w:val="21"/>
        </w:rPr>
      </w:pPr>
    </w:p>
    <w:p>
      <w:pPr>
        <w:spacing w:before="94" w:line="382" w:lineRule="auto"/>
        <w:ind w:left="173" w:right="109" w:firstLine="590"/>
        <w:jc w:val="both"/>
        <w:rPr>
          <w:rFonts w:hint="eastAsia" w:ascii="仿宋" w:hAnsi="仿宋" w:eastAsia="仿宋" w:cs="仿宋"/>
          <w:spacing w:val="-11"/>
          <w:sz w:val="29"/>
          <w:szCs w:val="29"/>
        </w:rPr>
      </w:pPr>
      <w:r>
        <w:rPr>
          <w:rFonts w:hint="eastAsia" w:ascii="仿宋" w:hAnsi="仿宋" w:eastAsia="仿宋" w:cs="仿宋"/>
          <w:spacing w:val="-11"/>
          <w:sz w:val="29"/>
          <w:szCs w:val="29"/>
        </w:rPr>
        <w:t>深圳耕地资源少，是农产品的主销区，涉农产业前端发展空间受限，中端发展重视程度不足，后端消费服务优势明显，与同口径下的北京、上海和广州相比，涉农产业前中后端结构呈现“头轻脚重”现象，整体产值较低。深圳农业资金投入旨在稳定产业前端有序增长，强化中端发展，持续发挥后端优势，资金投入后预期带动涉农产业产值实现509亿元的增量。为保障民生供需动态平衡、确保民生保供正常运营、实现产业高质量发展，必须在基础设施建设、保供运营补助等领域加大农业投入。日常运营期间，深圳农产品保供稳价财政资金缺乏基础设施、质量安全检测等投入，农产品供给基本满足深圳2200万管理人口的需求。疫情防控期间，新增财政资金在农产品零售、应急、检测等领域发挥调节市场作用，使得农产品年供应量提高至663万吨，从而保障民生供需平衡、农产品价格稳定。深圳市现状土地碎片化程度高、土壤质量低，资金前期投入较少，需加强现有资金投入，以落实耕地保护粮食安全硬任务，同时探索高度城市化地区都市农业发展利用新模式。</w:t>
      </w:r>
    </w:p>
    <w:p>
      <w:pPr>
        <w:spacing w:line="394" w:lineRule="auto"/>
        <w:rPr>
          <w:rFonts w:ascii="Arial"/>
          <w:sz w:val="21"/>
        </w:rPr>
      </w:pPr>
    </w:p>
    <w:p>
      <w:pPr>
        <w:spacing w:before="94" w:line="382" w:lineRule="auto"/>
        <w:ind w:left="39" w:right="254" w:firstLine="760"/>
        <w:jc w:val="both"/>
        <w:outlineLvl w:val="2"/>
        <w:rPr>
          <w:rFonts w:hint="eastAsia" w:ascii="黑体" w:hAnsi="黑体" w:eastAsia="黑体" w:cs="黑体"/>
          <w:b/>
          <w:bCs/>
          <w:spacing w:val="-11"/>
          <w:sz w:val="29"/>
          <w:szCs w:val="29"/>
          <w:lang w:val="en-US" w:eastAsia="zh-CN"/>
        </w:rPr>
      </w:pPr>
      <w:bookmarkStart w:id="19" w:name="_Toc2467"/>
      <w:r>
        <w:rPr>
          <w:rFonts w:hint="eastAsia" w:ascii="黑体" w:hAnsi="黑体" w:eastAsia="黑体" w:cs="黑体"/>
          <w:b/>
          <w:bCs/>
          <w:spacing w:val="-11"/>
          <w:sz w:val="29"/>
          <w:szCs w:val="29"/>
          <w:lang w:val="en-US" w:eastAsia="zh-CN"/>
        </w:rPr>
        <w:t>(三)响应国务院、市委市政府打造“农业科技创新先行示范区”、“深圳国际食品谷”的战略要求</w:t>
      </w:r>
      <w:bookmarkEnd w:id="19"/>
    </w:p>
    <w:p>
      <w:pPr>
        <w:pStyle w:val="2"/>
        <w:outlineLvl w:val="9"/>
        <w:rPr>
          <w:sz w:val="2"/>
          <w:szCs w:val="2"/>
        </w:rPr>
      </w:pPr>
    </w:p>
    <w:p>
      <w:pPr>
        <w:spacing w:before="94" w:line="382" w:lineRule="auto"/>
        <w:ind w:left="173" w:right="109" w:firstLine="590"/>
        <w:jc w:val="both"/>
        <w:rPr>
          <w:rFonts w:ascii="仿宋" w:hAnsi="仿宋" w:eastAsia="仿宋" w:cs="仿宋"/>
          <w:sz w:val="29"/>
          <w:szCs w:val="29"/>
        </w:rPr>
      </w:pPr>
      <w:r>
        <w:rPr>
          <w:rFonts w:hint="eastAsia" w:ascii="仿宋" w:hAnsi="仿宋" w:eastAsia="仿宋" w:cs="仿宋"/>
          <w:spacing w:val="-11"/>
          <w:sz w:val="29"/>
          <w:szCs w:val="29"/>
          <w:lang w:val="en-US" w:eastAsia="zh-CN"/>
        </w:rPr>
        <w:t>2021年3月，深圳市印发</w:t>
      </w:r>
      <w:r>
        <w:rPr>
          <w:rFonts w:hint="eastAsia" w:ascii="仿宋" w:hAnsi="仿宋" w:eastAsia="仿宋" w:cs="仿宋"/>
          <w:spacing w:val="-11"/>
          <w:sz w:val="29"/>
          <w:szCs w:val="29"/>
        </w:rPr>
        <w:t>《关于打造农业科技创新先行示范区的若干措施》，</w:t>
      </w:r>
      <w:r>
        <w:rPr>
          <w:rFonts w:hint="eastAsia" w:ascii="仿宋" w:hAnsi="仿宋" w:eastAsia="仿宋" w:cs="仿宋"/>
          <w:spacing w:val="-11"/>
          <w:sz w:val="29"/>
          <w:szCs w:val="29"/>
          <w:lang w:val="en-US" w:eastAsia="zh-CN"/>
        </w:rPr>
        <w:t>提出坚持农业科技自立自强，加快推进农业关键核心技术攻关，充分发挥我市科技创新优势，进一步完善农业科技“基础研究+技术攻关+成果产业化+科技金融+人才支撑”全过程创新生态链，着力打造农业科技创新先行示范区，以先行示范的使命担当更好服务乡村振兴和农业农村现代化建设。2021年9月，《深圳国际食品谷发展规划（2021-2035年）》提出</w:t>
      </w:r>
      <w:r>
        <w:rPr>
          <w:rFonts w:hint="eastAsia" w:ascii="仿宋" w:hAnsi="仿宋" w:eastAsia="仿宋" w:cs="仿宋"/>
          <w:spacing w:val="-11"/>
          <w:sz w:val="29"/>
          <w:szCs w:val="29"/>
        </w:rPr>
        <w:t>立足深圳新一代信息技术、高端装备制造、绿色低碳等核心技术先发优势，主动承担食品产业变革重大历史使命，创新发展思路，提高发展质量，加快构建更高层次、更高质量、更有效率、更可持续的粮食安全保障体系，全面开创食品产业大循环新格局，将深圳国际食品谷（以下简称国际食品谷）建设成为具有国际影响力的食品营养健康领先示范区</w:t>
      </w:r>
      <w:r>
        <w:rPr>
          <w:rFonts w:hint="eastAsia" w:ascii="仿宋" w:hAnsi="仿宋" w:eastAsia="仿宋" w:cs="仿宋"/>
          <w:spacing w:val="-11"/>
          <w:sz w:val="29"/>
          <w:szCs w:val="29"/>
          <w:lang w:eastAsia="zh-CN"/>
        </w:rPr>
        <w:t>。</w:t>
      </w:r>
    </w:p>
    <w:p>
      <w:pPr>
        <w:spacing w:line="375" w:lineRule="auto"/>
        <w:rPr>
          <w:rFonts w:ascii="Arial"/>
          <w:sz w:val="21"/>
        </w:rPr>
      </w:pPr>
    </w:p>
    <w:p>
      <w:pPr>
        <w:spacing w:before="94" w:line="222" w:lineRule="auto"/>
        <w:ind w:left="639"/>
        <w:outlineLvl w:val="1"/>
        <w:rPr>
          <w:rFonts w:ascii="黑体" w:hAnsi="黑体" w:eastAsia="黑体" w:cs="黑体"/>
          <w:sz w:val="29"/>
          <w:szCs w:val="29"/>
        </w:rPr>
      </w:pPr>
      <w:bookmarkStart w:id="20" w:name="_Toc30670"/>
      <w:r>
        <w:rPr>
          <w:rFonts w:ascii="黑体" w:hAnsi="黑体" w:eastAsia="黑体" w:cs="黑体"/>
          <w:b/>
          <w:bCs/>
          <w:spacing w:val="-16"/>
          <w:sz w:val="29"/>
          <w:szCs w:val="29"/>
        </w:rPr>
        <w:t>三、可行性评估</w:t>
      </w:r>
      <w:bookmarkEnd w:id="20"/>
    </w:p>
    <w:p>
      <w:pPr>
        <w:spacing w:line="294" w:lineRule="auto"/>
        <w:rPr>
          <w:rFonts w:ascii="Arial"/>
          <w:sz w:val="21"/>
        </w:rPr>
      </w:pPr>
    </w:p>
    <w:p>
      <w:pPr>
        <w:spacing w:before="94" w:line="382" w:lineRule="auto"/>
        <w:ind w:left="54" w:right="140" w:firstLine="580"/>
        <w:jc w:val="both"/>
        <w:rPr>
          <w:rFonts w:ascii="仿宋" w:hAnsi="仿宋" w:eastAsia="仿宋" w:cs="仿宋"/>
          <w:sz w:val="29"/>
          <w:szCs w:val="29"/>
        </w:rPr>
      </w:pPr>
      <w:r>
        <w:rPr>
          <w:rFonts w:ascii="仿宋" w:hAnsi="仿宋" w:eastAsia="仿宋" w:cs="仿宋"/>
          <w:spacing w:val="-10"/>
          <w:sz w:val="29"/>
          <w:szCs w:val="29"/>
        </w:rPr>
        <w:t>可行性评估在于评判</w:t>
      </w:r>
      <w:r>
        <w:rPr>
          <w:rFonts w:hint="eastAsia" w:ascii="仿宋" w:hAnsi="仿宋" w:eastAsia="仿宋" w:cs="仿宋"/>
          <w:spacing w:val="-10"/>
          <w:sz w:val="29"/>
          <w:szCs w:val="29"/>
          <w:lang w:val="en-US" w:eastAsia="zh-CN"/>
        </w:rPr>
        <w:t>《若干措施》</w:t>
      </w:r>
      <w:r>
        <w:rPr>
          <w:rFonts w:ascii="仿宋" w:hAnsi="仿宋" w:eastAsia="仿宋" w:cs="仿宋"/>
          <w:spacing w:val="-10"/>
          <w:sz w:val="29"/>
          <w:szCs w:val="29"/>
        </w:rPr>
        <w:t>的实施时</w:t>
      </w:r>
      <w:r>
        <w:rPr>
          <w:rFonts w:ascii="仿宋" w:hAnsi="仿宋" w:eastAsia="仿宋" w:cs="仿宋"/>
          <w:spacing w:val="-11"/>
          <w:sz w:val="29"/>
          <w:szCs w:val="29"/>
        </w:rPr>
        <w:t>机是否周密、</w:t>
      </w:r>
      <w:r>
        <w:rPr>
          <w:rFonts w:ascii="仿宋" w:hAnsi="仿宋" w:eastAsia="仿宋" w:cs="仿宋"/>
          <w:spacing w:val="-4"/>
          <w:sz w:val="29"/>
          <w:szCs w:val="29"/>
        </w:rPr>
        <w:t>成熟，符合地区、行业发展需求。决策承办单位在总结此前实践</w:t>
      </w:r>
      <w:r>
        <w:rPr>
          <w:rFonts w:ascii="仿宋" w:hAnsi="仿宋" w:eastAsia="仿宋" w:cs="仿宋"/>
          <w:spacing w:val="-3"/>
          <w:sz w:val="29"/>
          <w:szCs w:val="29"/>
        </w:rPr>
        <w:t>经验，并充分吸收了《</w:t>
      </w:r>
      <w:r>
        <w:rPr>
          <w:rFonts w:hint="eastAsia" w:ascii="仿宋" w:hAnsi="仿宋" w:eastAsia="仿宋" w:cs="仿宋"/>
          <w:spacing w:val="-11"/>
          <w:sz w:val="29"/>
          <w:szCs w:val="29"/>
        </w:rPr>
        <w:t>关于打造农业科技创新先行示范区的若干措施</w:t>
      </w:r>
      <w:r>
        <w:rPr>
          <w:rFonts w:ascii="仿宋" w:hAnsi="仿宋" w:eastAsia="仿宋" w:cs="仿宋"/>
          <w:spacing w:val="-4"/>
          <w:sz w:val="29"/>
          <w:szCs w:val="29"/>
        </w:rPr>
        <w:t>》</w:t>
      </w:r>
      <w:r>
        <w:rPr>
          <w:rFonts w:hint="eastAsia" w:ascii="仿宋" w:hAnsi="仿宋" w:eastAsia="仿宋" w:cs="仿宋"/>
          <w:spacing w:val="-4"/>
          <w:sz w:val="29"/>
          <w:szCs w:val="29"/>
          <w:lang w:val="en-US" w:eastAsia="zh-CN"/>
        </w:rPr>
        <w:t>和《</w:t>
      </w:r>
      <w:r>
        <w:rPr>
          <w:rFonts w:hint="eastAsia" w:ascii="仿宋" w:hAnsi="仿宋" w:eastAsia="仿宋" w:cs="仿宋"/>
          <w:spacing w:val="-11"/>
          <w:sz w:val="29"/>
          <w:szCs w:val="29"/>
          <w:lang w:val="en-US" w:eastAsia="zh-CN"/>
        </w:rPr>
        <w:t>深圳国际食品谷发展规划（2021-2035年）</w:t>
      </w:r>
      <w:r>
        <w:rPr>
          <w:rFonts w:hint="eastAsia" w:ascii="仿宋" w:hAnsi="仿宋" w:eastAsia="仿宋" w:cs="仿宋"/>
          <w:spacing w:val="-4"/>
          <w:sz w:val="29"/>
          <w:szCs w:val="29"/>
          <w:lang w:val="en-US" w:eastAsia="zh-CN"/>
        </w:rPr>
        <w:t>》</w:t>
      </w:r>
      <w:r>
        <w:rPr>
          <w:rFonts w:ascii="仿宋" w:hAnsi="仿宋" w:eastAsia="仿宋" w:cs="仿宋"/>
          <w:spacing w:val="-4"/>
          <w:sz w:val="29"/>
          <w:szCs w:val="29"/>
        </w:rPr>
        <w:t>的相关</w:t>
      </w:r>
      <w:r>
        <w:rPr>
          <w:rFonts w:hint="eastAsia" w:ascii="仿宋" w:hAnsi="仿宋" w:eastAsia="仿宋" w:cs="仿宋"/>
          <w:spacing w:val="-4"/>
          <w:sz w:val="29"/>
          <w:szCs w:val="29"/>
          <w:lang w:val="en-US" w:eastAsia="zh-CN"/>
        </w:rPr>
        <w:t>政策</w:t>
      </w:r>
      <w:r>
        <w:rPr>
          <w:rFonts w:ascii="仿宋" w:hAnsi="仿宋" w:eastAsia="仿宋" w:cs="仿宋"/>
          <w:spacing w:val="-4"/>
          <w:sz w:val="29"/>
          <w:szCs w:val="29"/>
        </w:rPr>
        <w:t>规定的基础上，完成</w:t>
      </w:r>
      <w:r>
        <w:rPr>
          <w:rFonts w:hint="eastAsia" w:ascii="仿宋" w:hAnsi="仿宋" w:eastAsia="仿宋" w:cs="仿宋"/>
          <w:spacing w:val="-4"/>
          <w:sz w:val="29"/>
          <w:szCs w:val="29"/>
          <w:lang w:val="en-US" w:eastAsia="zh-CN"/>
        </w:rPr>
        <w:t>《若干措施》</w:t>
      </w:r>
      <w:r>
        <w:rPr>
          <w:rFonts w:ascii="仿宋" w:hAnsi="仿宋" w:eastAsia="仿宋" w:cs="仿宋"/>
          <w:spacing w:val="-4"/>
          <w:sz w:val="29"/>
          <w:szCs w:val="29"/>
        </w:rPr>
        <w:t>的起草，其实施的可行性主要体现在以下几个方面：</w:t>
      </w:r>
    </w:p>
    <w:p>
      <w:pPr>
        <w:spacing w:line="317" w:lineRule="auto"/>
        <w:rPr>
          <w:rFonts w:ascii="Arial"/>
          <w:sz w:val="21"/>
        </w:rPr>
      </w:pPr>
    </w:p>
    <w:p>
      <w:pPr>
        <w:spacing w:before="94" w:line="382" w:lineRule="auto"/>
        <w:ind w:left="39" w:right="254" w:firstLine="760"/>
        <w:jc w:val="both"/>
        <w:outlineLvl w:val="2"/>
        <w:rPr>
          <w:rFonts w:ascii="Arial"/>
          <w:sz w:val="21"/>
        </w:rPr>
      </w:pPr>
      <w:bookmarkStart w:id="21" w:name="_Toc32153"/>
      <w:r>
        <w:rPr>
          <w:rFonts w:hint="eastAsia" w:ascii="黑体" w:hAnsi="黑体" w:eastAsia="黑体" w:cs="黑体"/>
          <w:b/>
          <w:bCs/>
          <w:spacing w:val="-11"/>
          <w:sz w:val="29"/>
          <w:szCs w:val="29"/>
          <w:lang w:val="en-US" w:eastAsia="zh-CN"/>
        </w:rPr>
        <w:t>(一)科技创新体系和安全监管体系的不断完善，为《若干措施》的施行提供了保障</w:t>
      </w:r>
      <w:bookmarkEnd w:id="21"/>
    </w:p>
    <w:p>
      <w:pPr>
        <w:spacing w:before="94" w:line="382" w:lineRule="auto"/>
        <w:ind w:right="341" w:firstLine="599"/>
        <w:jc w:val="both"/>
        <w:rPr>
          <w:rFonts w:hint="eastAsia" w:ascii="仿宋" w:hAnsi="仿宋" w:eastAsia="仿宋" w:cs="仿宋"/>
          <w:spacing w:val="7"/>
          <w:sz w:val="29"/>
          <w:szCs w:val="29"/>
        </w:rPr>
      </w:pPr>
      <w:r>
        <w:rPr>
          <w:rFonts w:hint="eastAsia" w:ascii="仿宋" w:hAnsi="仿宋" w:eastAsia="仿宋" w:cs="仿宋"/>
          <w:spacing w:val="7"/>
          <w:sz w:val="29"/>
          <w:szCs w:val="29"/>
        </w:rPr>
        <w:t>深圳依托“双区”建设的重要历史机遇，近年来以推动高质量发展为主题，推动科技链赋能产业链，构建上中下游全链条的科技创新体系，加快产学研深度融合，提升“基础研究+技术攻关+成果产业化+科技金融+人才支撑”全过程创新生态链能级，致力于打造都市现代农业先行示范区。</w:t>
      </w:r>
    </w:p>
    <w:p>
      <w:pPr>
        <w:spacing w:before="94" w:line="382" w:lineRule="auto"/>
        <w:ind w:right="341" w:firstLine="599"/>
        <w:jc w:val="both"/>
        <w:rPr>
          <w:rFonts w:hint="eastAsia" w:ascii="仿宋" w:hAnsi="仿宋" w:eastAsia="仿宋" w:cs="仿宋"/>
          <w:spacing w:val="7"/>
          <w:sz w:val="29"/>
          <w:szCs w:val="29"/>
        </w:rPr>
      </w:pPr>
      <w:r>
        <w:rPr>
          <w:rFonts w:hint="eastAsia" w:ascii="仿宋" w:hAnsi="仿宋" w:eastAsia="仿宋" w:cs="仿宋"/>
          <w:spacing w:val="7"/>
          <w:sz w:val="29"/>
          <w:szCs w:val="29"/>
        </w:rPr>
        <w:t>深圳按照“双区”建设要求，加快推进“两园区两中心一谷一平台”建设工作，打造湾区科技创新聚集地，为深圳农业科技发展“筑巢引凤”，以及有效推进高标准农田建设规划，把建设现代农业产业园作为推动都市现代农业发展的有效手段。同时，重点推进建设农业科技创新先行示范区，相继出台-系列扶持政策，加强种质资源保护利用、开展种源“卡脖子”技术攻关、加快生物育种成果产业化、扶持种业企业发展等18条措施，进一步扩大农业科技创新成果。此外，高标准推进建设深圳国际食品谷，重点打造“圳品”品牌工程。目前，深圳已申报建设4个省级现代农业产业园、创建1家省级农业公园、建成180个“菜篮子”基地、深圳共审核通过567个“圳品”品种，“圳品”品牌走红粤港澳大湾区，“粤字号”农业品牌影响力和竞争力大幅度提升。</w:t>
      </w:r>
    </w:p>
    <w:p>
      <w:pPr>
        <w:spacing w:before="94" w:line="382" w:lineRule="auto"/>
        <w:ind w:right="341" w:firstLine="599"/>
        <w:jc w:val="both"/>
        <w:rPr>
          <w:rFonts w:ascii="Arial"/>
          <w:sz w:val="21"/>
        </w:rPr>
      </w:pPr>
      <w:r>
        <w:rPr>
          <w:rFonts w:ascii="仿宋" w:hAnsi="仿宋" w:eastAsia="仿宋" w:cs="仿宋"/>
          <w:spacing w:val="7"/>
          <w:sz w:val="29"/>
          <w:szCs w:val="29"/>
        </w:rPr>
        <w:t>自2014年以来，深圳市就建立了食品安全追溯信用管理系</w:t>
      </w:r>
      <w:r>
        <w:rPr>
          <w:rFonts w:ascii="仿宋" w:hAnsi="仿宋" w:eastAsia="仿宋" w:cs="仿宋"/>
          <w:spacing w:val="-2"/>
          <w:sz w:val="29"/>
          <w:szCs w:val="29"/>
        </w:rPr>
        <w:t>统，变监管为服务，以索证索票为核心，以商品条码为抓手，</w:t>
      </w:r>
      <w:r>
        <w:rPr>
          <w:rFonts w:ascii="仿宋" w:hAnsi="仿宋" w:eastAsia="仿宋" w:cs="仿宋"/>
          <w:spacing w:val="-3"/>
          <w:sz w:val="29"/>
          <w:szCs w:val="29"/>
        </w:rPr>
        <w:t>以大型商场超市为主渠道，实现企业资料管理、食品信息及资质管理、从生产到销售的追溯链条管理、食品和企业风险评价等，并</w:t>
      </w:r>
      <w:r>
        <w:rPr>
          <w:rFonts w:ascii="仿宋" w:hAnsi="仿宋" w:eastAsia="仿宋" w:cs="仿宋"/>
          <w:spacing w:val="8"/>
          <w:sz w:val="29"/>
          <w:szCs w:val="29"/>
        </w:rPr>
        <w:t>实现22万多种预包装食品种类从生产到销售食品追溯</w:t>
      </w:r>
      <w:r>
        <w:rPr>
          <w:rFonts w:ascii="仿宋" w:hAnsi="仿宋" w:eastAsia="仿宋" w:cs="仿宋"/>
          <w:spacing w:val="7"/>
          <w:sz w:val="29"/>
          <w:szCs w:val="29"/>
        </w:rPr>
        <w:t>，厘清各</w:t>
      </w:r>
      <w:r>
        <w:rPr>
          <w:rFonts w:ascii="仿宋" w:hAnsi="仿宋" w:eastAsia="仿宋" w:cs="仿宋"/>
          <w:spacing w:val="-5"/>
          <w:sz w:val="29"/>
          <w:szCs w:val="29"/>
        </w:rPr>
        <w:t>方追溯责任。</w:t>
      </w:r>
    </w:p>
    <w:p>
      <w:pPr>
        <w:spacing w:before="94" w:line="382" w:lineRule="auto"/>
        <w:ind w:right="341" w:firstLine="599"/>
        <w:jc w:val="both"/>
        <w:rPr>
          <w:rFonts w:ascii="仿宋" w:hAnsi="仿宋" w:eastAsia="仿宋" w:cs="仿宋"/>
          <w:spacing w:val="-3"/>
          <w:sz w:val="29"/>
          <w:szCs w:val="29"/>
        </w:rPr>
      </w:pPr>
      <w:r>
        <w:rPr>
          <w:rFonts w:hint="eastAsia" w:ascii="仿宋" w:hAnsi="仿宋" w:eastAsia="仿宋" w:cs="仿宋"/>
          <w:spacing w:val="-3"/>
          <w:sz w:val="29"/>
          <w:szCs w:val="29"/>
          <w:lang w:val="en-US" w:eastAsia="zh-CN"/>
        </w:rPr>
        <w:t>农业科技创新体系和</w:t>
      </w:r>
      <w:r>
        <w:rPr>
          <w:rFonts w:ascii="仿宋" w:hAnsi="仿宋" w:eastAsia="仿宋" w:cs="仿宋"/>
          <w:spacing w:val="-3"/>
          <w:sz w:val="29"/>
          <w:szCs w:val="29"/>
        </w:rPr>
        <w:t>食品安全监管体系的建设和发展，为</w:t>
      </w:r>
      <w:r>
        <w:rPr>
          <w:rFonts w:hint="eastAsia" w:ascii="仿宋" w:hAnsi="仿宋" w:eastAsia="仿宋" w:cs="仿宋"/>
          <w:spacing w:val="-3"/>
          <w:sz w:val="29"/>
          <w:szCs w:val="29"/>
          <w:lang w:val="en-US" w:eastAsia="zh-CN"/>
        </w:rPr>
        <w:t>《若干措施》</w:t>
      </w:r>
      <w:r>
        <w:rPr>
          <w:rFonts w:ascii="仿宋" w:hAnsi="仿宋" w:eastAsia="仿宋" w:cs="仿宋"/>
          <w:spacing w:val="-3"/>
          <w:sz w:val="29"/>
          <w:szCs w:val="29"/>
        </w:rPr>
        <w:t>的施行提供了保障。</w:t>
      </w:r>
    </w:p>
    <w:p>
      <w:pPr>
        <w:spacing w:line="409" w:lineRule="auto"/>
        <w:rPr>
          <w:rFonts w:ascii="Arial"/>
          <w:sz w:val="21"/>
        </w:rPr>
      </w:pPr>
    </w:p>
    <w:p>
      <w:pPr>
        <w:spacing w:before="94" w:line="382" w:lineRule="auto"/>
        <w:ind w:left="39" w:right="254" w:firstLine="760"/>
        <w:jc w:val="both"/>
        <w:outlineLvl w:val="2"/>
        <w:rPr>
          <w:rFonts w:hint="eastAsia" w:ascii="黑体" w:hAnsi="黑体" w:eastAsia="黑体" w:cs="黑体"/>
          <w:b/>
          <w:bCs/>
          <w:spacing w:val="-11"/>
          <w:sz w:val="29"/>
          <w:szCs w:val="29"/>
          <w:lang w:val="en-US" w:eastAsia="zh-CN"/>
        </w:rPr>
      </w:pPr>
      <w:bookmarkStart w:id="22" w:name="_Toc21766"/>
      <w:r>
        <w:rPr>
          <w:rFonts w:hint="eastAsia" w:ascii="黑体" w:hAnsi="黑体" w:eastAsia="黑体" w:cs="黑体"/>
          <w:b/>
          <w:bCs/>
          <w:spacing w:val="-11"/>
          <w:sz w:val="29"/>
          <w:szCs w:val="29"/>
          <w:lang w:val="en-US" w:eastAsia="zh-CN"/>
        </w:rPr>
        <w:t>(二)前期制度的实施成效促进了《若干措施》的可操作性</w:t>
      </w:r>
      <w:bookmarkEnd w:id="22"/>
    </w:p>
    <w:p>
      <w:pPr>
        <w:spacing w:line="427" w:lineRule="auto"/>
        <w:rPr>
          <w:rFonts w:ascii="Arial"/>
          <w:sz w:val="21"/>
        </w:rPr>
      </w:pPr>
    </w:p>
    <w:p>
      <w:pPr>
        <w:spacing w:before="99" w:line="370" w:lineRule="auto"/>
        <w:ind w:left="74" w:right="229" w:firstLine="580"/>
        <w:jc w:val="both"/>
        <w:rPr>
          <w:rFonts w:hint="eastAsia" w:ascii="仿宋" w:hAnsi="仿宋" w:eastAsia="仿宋" w:cs="仿宋"/>
          <w:spacing w:val="-4"/>
          <w:sz w:val="30"/>
          <w:szCs w:val="30"/>
          <w:lang w:val="en-US" w:eastAsia="zh-CN"/>
        </w:rPr>
      </w:pPr>
      <w:r>
        <w:rPr>
          <w:rFonts w:hint="eastAsia" w:ascii="仿宋" w:hAnsi="仿宋" w:eastAsia="仿宋" w:cs="仿宋"/>
          <w:spacing w:val="-4"/>
          <w:sz w:val="30"/>
          <w:szCs w:val="30"/>
        </w:rPr>
        <w:t>《深圳市农业发展专项资金管理办法》(以下简称《办法》)自2013年7月印发实施以来,较好地落实了近年来中央和省委省政府出台的主要强农惠农政策,稳定了农产品市场供应,保障了农产品质量安全,促进了农业产业化发展,增强了农业科技创新能力,提升了基本农田质量,促进了远洋渔业发展,为实现现代农业全面可持续发展提供了重要资金支撑。但随着“十三五”期间国家和省、市一系列农业供给侧结构性改革政策的出台,对我市现代农业发展提出了更高要求,加之新形势下农业新业态、新趋势的不断涌现,原《办法》已无法完全覆盖到这些新政策、新情况,逐渐出现了不适用的情况。为促进我市现代农业发展,规范农业发展专项资金管理,提高财政资金使用效益</w:t>
      </w:r>
      <w:r>
        <w:rPr>
          <w:rFonts w:hint="eastAsia" w:ascii="仿宋" w:hAnsi="仿宋" w:eastAsia="仿宋" w:cs="仿宋"/>
          <w:spacing w:val="-4"/>
          <w:sz w:val="30"/>
          <w:szCs w:val="30"/>
          <w:lang w:eastAsia="zh-CN"/>
        </w:rPr>
        <w:t>，</w:t>
      </w:r>
      <w:r>
        <w:rPr>
          <w:rFonts w:hint="eastAsia" w:ascii="仿宋" w:hAnsi="仿宋" w:eastAsia="仿宋" w:cs="仿宋"/>
          <w:spacing w:val="-4"/>
          <w:sz w:val="30"/>
          <w:szCs w:val="30"/>
          <w:lang w:val="en-US" w:eastAsia="zh-CN"/>
        </w:rPr>
        <w:t>2018年，市经贸信息委牵头对《办法》进行修订。修订后的</w:t>
      </w:r>
      <w:r>
        <w:rPr>
          <w:rFonts w:hint="eastAsia" w:ascii="仿宋" w:hAnsi="仿宋" w:eastAsia="仿宋" w:cs="仿宋"/>
          <w:spacing w:val="-4"/>
          <w:sz w:val="30"/>
          <w:szCs w:val="30"/>
        </w:rPr>
        <w:t>《深圳市农业发展专项资金管理办法》</w:t>
      </w:r>
      <w:r>
        <w:rPr>
          <w:rFonts w:hint="eastAsia" w:ascii="仿宋" w:hAnsi="仿宋" w:eastAsia="仿宋" w:cs="仿宋"/>
          <w:spacing w:val="-4"/>
          <w:sz w:val="30"/>
          <w:szCs w:val="30"/>
          <w:lang w:val="en-US" w:eastAsia="zh-CN"/>
        </w:rPr>
        <w:t>扩大和调整了项目资助范围，新增资助项目，将基本农田项目下放至区级农业主管部门实施，调整资金预算管理内容，完善专项资金监管内容，</w:t>
      </w:r>
      <w:r>
        <w:rPr>
          <w:rFonts w:ascii="仿宋" w:hAnsi="仿宋" w:eastAsia="仿宋" w:cs="仿宋"/>
          <w:spacing w:val="-14"/>
          <w:sz w:val="30"/>
          <w:szCs w:val="30"/>
        </w:rPr>
        <w:t>进一步明确</w:t>
      </w:r>
      <w:r>
        <w:rPr>
          <w:rFonts w:hint="eastAsia" w:ascii="仿宋" w:hAnsi="仿宋" w:eastAsia="仿宋" w:cs="仿宋"/>
          <w:spacing w:val="-14"/>
          <w:sz w:val="30"/>
          <w:szCs w:val="30"/>
          <w:lang w:val="en-US" w:eastAsia="zh-CN"/>
        </w:rPr>
        <w:t>了</w:t>
      </w:r>
      <w:r>
        <w:rPr>
          <w:rFonts w:ascii="仿宋" w:hAnsi="仿宋" w:eastAsia="仿宋" w:cs="仿宋"/>
          <w:spacing w:val="-14"/>
          <w:sz w:val="30"/>
          <w:szCs w:val="30"/>
        </w:rPr>
        <w:t>可</w:t>
      </w:r>
      <w:r>
        <w:rPr>
          <w:rFonts w:ascii="仿宋" w:hAnsi="仿宋" w:eastAsia="仿宋" w:cs="仿宋"/>
          <w:spacing w:val="-15"/>
          <w:sz w:val="30"/>
          <w:szCs w:val="30"/>
        </w:rPr>
        <w:t>给</w:t>
      </w:r>
      <w:r>
        <w:rPr>
          <w:rFonts w:ascii="仿宋" w:hAnsi="仿宋" w:eastAsia="仿宋" w:cs="仿宋"/>
          <w:spacing w:val="-14"/>
          <w:sz w:val="30"/>
          <w:szCs w:val="30"/>
        </w:rPr>
        <w:t>予奖励的条件</w:t>
      </w:r>
      <w:r>
        <w:rPr>
          <w:rFonts w:hint="eastAsia" w:ascii="仿宋" w:hAnsi="仿宋" w:eastAsia="仿宋" w:cs="仿宋"/>
          <w:spacing w:val="-14"/>
          <w:sz w:val="30"/>
          <w:szCs w:val="30"/>
          <w:lang w:eastAsia="zh-CN"/>
        </w:rPr>
        <w:t>。</w:t>
      </w:r>
    </w:p>
    <w:p>
      <w:pPr>
        <w:spacing w:before="255" w:line="369" w:lineRule="auto"/>
        <w:ind w:left="74" w:right="85" w:firstLine="590"/>
        <w:jc w:val="both"/>
        <w:rPr>
          <w:rFonts w:hint="default" w:ascii="仿宋" w:hAnsi="仿宋" w:eastAsia="仿宋" w:cs="仿宋"/>
          <w:spacing w:val="-2"/>
          <w:sz w:val="30"/>
          <w:szCs w:val="30"/>
          <w:lang w:val="en-US" w:eastAsia="zh-CN"/>
        </w:rPr>
      </w:pPr>
      <w:r>
        <w:rPr>
          <w:rFonts w:hint="eastAsia" w:ascii="仿宋" w:hAnsi="仿宋" w:eastAsia="仿宋" w:cs="仿宋"/>
          <w:spacing w:val="-2"/>
          <w:sz w:val="30"/>
          <w:szCs w:val="30"/>
          <w:lang w:val="en-US" w:eastAsia="zh-CN"/>
        </w:rPr>
        <w:t>2022年，深圳市共计农业龙头企业199家，市内菜篮子基地116个，农业投入品生产企业6家。从实施情况来看，专项资金管理办法有效地扩大培育了农业市场主体，</w:t>
      </w:r>
      <w:r>
        <w:rPr>
          <w:rFonts w:hint="eastAsia" w:ascii="仿宋" w:hAnsi="仿宋" w:eastAsia="仿宋" w:cs="仿宋"/>
          <w:spacing w:val="-18"/>
          <w:sz w:val="30"/>
          <w:szCs w:val="30"/>
          <w:lang w:val="en-US" w:eastAsia="zh-CN"/>
        </w:rPr>
        <w:t>《若干措施》</w:t>
      </w:r>
      <w:r>
        <w:rPr>
          <w:rFonts w:ascii="仿宋" w:hAnsi="仿宋" w:eastAsia="仿宋" w:cs="仿宋"/>
          <w:spacing w:val="-13"/>
          <w:sz w:val="30"/>
          <w:szCs w:val="30"/>
        </w:rPr>
        <w:t>正是在此前政策的基础</w:t>
      </w:r>
      <w:r>
        <w:rPr>
          <w:rFonts w:ascii="仿宋" w:hAnsi="仿宋" w:eastAsia="仿宋" w:cs="仿宋"/>
          <w:spacing w:val="-18"/>
          <w:sz w:val="30"/>
          <w:szCs w:val="30"/>
        </w:rPr>
        <w:t>上提炼</w:t>
      </w:r>
      <w:r>
        <w:rPr>
          <w:rFonts w:hint="eastAsia" w:ascii="仿宋" w:hAnsi="仿宋" w:eastAsia="仿宋" w:cs="仿宋"/>
          <w:spacing w:val="-18"/>
          <w:sz w:val="30"/>
          <w:szCs w:val="30"/>
          <w:lang w:val="en-US" w:eastAsia="zh-CN"/>
        </w:rPr>
        <w:t>和扩充农业领域扶持内容，从实践中提炼出规则，并以规范性文件的形式加以固定，进而服务于实践，极大地增强了《若干措施》的可操作性。</w:t>
      </w:r>
    </w:p>
    <w:p>
      <w:pPr>
        <w:spacing w:line="448" w:lineRule="auto"/>
        <w:rPr>
          <w:rFonts w:ascii="Arial"/>
          <w:sz w:val="21"/>
        </w:rPr>
      </w:pPr>
    </w:p>
    <w:p>
      <w:pPr>
        <w:spacing w:before="94" w:line="382" w:lineRule="auto"/>
        <w:ind w:left="39" w:right="254" w:firstLine="760"/>
        <w:jc w:val="both"/>
        <w:outlineLvl w:val="2"/>
        <w:rPr>
          <w:rFonts w:ascii="黑体" w:hAnsi="黑体" w:eastAsia="黑体" w:cs="黑体"/>
          <w:sz w:val="29"/>
          <w:szCs w:val="29"/>
        </w:rPr>
      </w:pPr>
      <w:bookmarkStart w:id="23" w:name="_Toc18239"/>
      <w:r>
        <w:rPr>
          <w:rFonts w:ascii="黑体" w:hAnsi="黑体" w:eastAsia="黑体" w:cs="黑体"/>
          <w:b/>
          <w:bCs/>
          <w:spacing w:val="-11"/>
          <w:sz w:val="29"/>
          <w:szCs w:val="29"/>
        </w:rPr>
        <w:t>(三)《</w:t>
      </w:r>
      <w:r>
        <w:rPr>
          <w:rFonts w:hint="eastAsia" w:ascii="黑体" w:hAnsi="黑体" w:eastAsia="黑体" w:cs="黑体"/>
          <w:b/>
          <w:bCs/>
          <w:spacing w:val="-11"/>
          <w:sz w:val="29"/>
          <w:szCs w:val="29"/>
        </w:rPr>
        <w:t>深圳市市场监督管理局专项资金管理办法</w:t>
      </w:r>
      <w:r>
        <w:rPr>
          <w:rFonts w:ascii="黑体" w:hAnsi="黑体" w:eastAsia="黑体" w:cs="黑体"/>
          <w:b/>
          <w:bCs/>
          <w:spacing w:val="-11"/>
          <w:sz w:val="29"/>
          <w:szCs w:val="29"/>
        </w:rPr>
        <w:t>》</w:t>
      </w:r>
      <w:r>
        <w:rPr>
          <w:rFonts w:ascii="黑体" w:hAnsi="黑体" w:eastAsia="黑体" w:cs="黑体"/>
          <w:b/>
          <w:bCs/>
          <w:spacing w:val="-12"/>
          <w:sz w:val="29"/>
          <w:szCs w:val="29"/>
        </w:rPr>
        <w:t>的</w:t>
      </w:r>
      <w:r>
        <w:rPr>
          <w:rFonts w:ascii="黑体" w:hAnsi="黑体" w:eastAsia="黑体" w:cs="黑体"/>
          <w:b/>
          <w:bCs/>
          <w:spacing w:val="-6"/>
          <w:sz w:val="29"/>
          <w:szCs w:val="29"/>
        </w:rPr>
        <w:t>制定及颁布，为</w:t>
      </w:r>
      <w:r>
        <w:rPr>
          <w:rFonts w:hint="eastAsia" w:ascii="黑体" w:hAnsi="黑体" w:eastAsia="黑体" w:cs="黑体"/>
          <w:b/>
          <w:bCs/>
          <w:spacing w:val="-6"/>
          <w:sz w:val="29"/>
          <w:szCs w:val="29"/>
          <w:lang w:val="en-US" w:eastAsia="zh-CN"/>
        </w:rPr>
        <w:t>《若干措施》</w:t>
      </w:r>
      <w:r>
        <w:rPr>
          <w:rFonts w:ascii="黑体" w:hAnsi="黑体" w:eastAsia="黑体" w:cs="黑体"/>
          <w:b/>
          <w:bCs/>
          <w:spacing w:val="-6"/>
          <w:sz w:val="29"/>
          <w:szCs w:val="29"/>
        </w:rPr>
        <w:t>的制定和施行提供了良好的</w:t>
      </w:r>
      <w:r>
        <w:rPr>
          <w:rFonts w:ascii="黑体" w:hAnsi="黑体" w:eastAsia="黑体" w:cs="黑体"/>
          <w:b/>
          <w:bCs/>
          <w:spacing w:val="-7"/>
          <w:sz w:val="29"/>
          <w:szCs w:val="29"/>
        </w:rPr>
        <w:t>外</w:t>
      </w:r>
      <w:r>
        <w:rPr>
          <w:rFonts w:ascii="黑体" w:hAnsi="黑体" w:eastAsia="黑体" w:cs="黑体"/>
          <w:b/>
          <w:bCs/>
          <w:spacing w:val="4"/>
          <w:sz w:val="29"/>
          <w:szCs w:val="29"/>
        </w:rPr>
        <w:t>部环境</w:t>
      </w:r>
      <w:bookmarkEnd w:id="23"/>
    </w:p>
    <w:p>
      <w:pPr>
        <w:spacing w:line="446" w:lineRule="auto"/>
        <w:rPr>
          <w:rFonts w:ascii="Arial"/>
          <w:sz w:val="21"/>
        </w:rPr>
      </w:pPr>
    </w:p>
    <w:p>
      <w:pPr>
        <w:spacing w:before="94" w:line="382" w:lineRule="auto"/>
        <w:ind w:left="34" w:right="200" w:firstLine="605"/>
        <w:jc w:val="both"/>
        <w:rPr>
          <w:rFonts w:ascii="仿宋" w:hAnsi="仿宋" w:eastAsia="仿宋" w:cs="仿宋"/>
          <w:sz w:val="29"/>
          <w:szCs w:val="29"/>
        </w:rPr>
      </w:pPr>
      <w:r>
        <w:rPr>
          <w:rFonts w:ascii="仿宋" w:hAnsi="仿宋" w:eastAsia="仿宋" w:cs="仿宋"/>
          <w:spacing w:val="-4"/>
          <w:sz w:val="29"/>
          <w:szCs w:val="29"/>
        </w:rPr>
        <w:t>《</w:t>
      </w:r>
      <w:r>
        <w:rPr>
          <w:rFonts w:hint="eastAsia" w:ascii="仿宋" w:hAnsi="仿宋" w:eastAsia="仿宋" w:cs="仿宋"/>
          <w:spacing w:val="-4"/>
          <w:sz w:val="29"/>
          <w:szCs w:val="29"/>
        </w:rPr>
        <w:t>深圳市市场监督管理局专项资金管理办法</w:t>
      </w:r>
      <w:r>
        <w:rPr>
          <w:rFonts w:ascii="仿宋" w:hAnsi="仿宋" w:eastAsia="仿宋" w:cs="仿宋"/>
          <w:spacing w:val="-4"/>
          <w:sz w:val="29"/>
          <w:szCs w:val="29"/>
        </w:rPr>
        <w:t>》已于2021</w:t>
      </w:r>
      <w:r>
        <w:rPr>
          <w:rFonts w:ascii="仿宋" w:hAnsi="仿宋" w:eastAsia="仿宋" w:cs="仿宋"/>
          <w:spacing w:val="8"/>
          <w:sz w:val="29"/>
          <w:szCs w:val="29"/>
        </w:rPr>
        <w:t>年1</w:t>
      </w:r>
      <w:r>
        <w:rPr>
          <w:rFonts w:hint="eastAsia" w:ascii="仿宋" w:hAnsi="仿宋" w:eastAsia="仿宋" w:cs="仿宋"/>
          <w:spacing w:val="8"/>
          <w:sz w:val="29"/>
          <w:szCs w:val="29"/>
          <w:lang w:val="en-US" w:eastAsia="zh-CN"/>
        </w:rPr>
        <w:t>1</w:t>
      </w:r>
      <w:r>
        <w:rPr>
          <w:rFonts w:ascii="仿宋" w:hAnsi="仿宋" w:eastAsia="仿宋" w:cs="仿宋"/>
          <w:spacing w:val="8"/>
          <w:sz w:val="29"/>
          <w:szCs w:val="29"/>
        </w:rPr>
        <w:t>月</w:t>
      </w:r>
      <w:r>
        <w:rPr>
          <w:rFonts w:hint="eastAsia" w:ascii="仿宋" w:hAnsi="仿宋" w:eastAsia="仿宋" w:cs="仿宋"/>
          <w:spacing w:val="8"/>
          <w:sz w:val="29"/>
          <w:szCs w:val="29"/>
          <w:lang w:val="en-US" w:eastAsia="zh-CN"/>
        </w:rPr>
        <w:t>2</w:t>
      </w:r>
      <w:r>
        <w:rPr>
          <w:rFonts w:ascii="仿宋" w:hAnsi="仿宋" w:eastAsia="仿宋" w:cs="仿宋"/>
          <w:spacing w:val="8"/>
          <w:sz w:val="29"/>
          <w:szCs w:val="29"/>
        </w:rPr>
        <w:t>日施行，其中更是吸收总结了《</w:t>
      </w:r>
      <w:r>
        <w:rPr>
          <w:rFonts w:hint="eastAsia" w:ascii="仿宋" w:hAnsi="仿宋" w:eastAsia="仿宋" w:cs="仿宋"/>
          <w:spacing w:val="8"/>
          <w:sz w:val="29"/>
          <w:szCs w:val="29"/>
        </w:rPr>
        <w:t>深圳市市级财政专项资金管理办法</w:t>
      </w:r>
      <w:r>
        <w:rPr>
          <w:rFonts w:ascii="仿宋" w:hAnsi="仿宋" w:eastAsia="仿宋" w:cs="仿宋"/>
          <w:spacing w:val="-3"/>
          <w:sz w:val="29"/>
          <w:szCs w:val="29"/>
        </w:rPr>
        <w:t>》等规定的内容，明确了</w:t>
      </w:r>
      <w:r>
        <w:rPr>
          <w:rFonts w:hint="eastAsia" w:ascii="仿宋" w:hAnsi="仿宋" w:eastAsia="仿宋" w:cs="仿宋"/>
          <w:spacing w:val="-4"/>
          <w:sz w:val="29"/>
          <w:szCs w:val="29"/>
        </w:rPr>
        <w:t>深圳市市场监督管理局</w:t>
      </w:r>
      <w:r>
        <w:rPr>
          <w:rFonts w:hint="eastAsia" w:ascii="仿宋" w:hAnsi="仿宋" w:eastAsia="仿宋" w:cs="仿宋"/>
          <w:spacing w:val="-4"/>
          <w:sz w:val="29"/>
          <w:szCs w:val="29"/>
          <w:lang w:val="en-US" w:eastAsia="zh-CN"/>
        </w:rPr>
        <w:t>专项资金是指深圳市市场监督管理局（以下简称市市场监管局）负责管理执行，为支持深圳市知识产权、深圳标准、农业食品发展、质量品牌等领域各项事业发展，由市级财政预算安排，具有专门用途和绩效目标的资金</w:t>
      </w:r>
      <w:r>
        <w:rPr>
          <w:rFonts w:ascii="仿宋" w:hAnsi="仿宋" w:eastAsia="仿宋" w:cs="仿宋"/>
          <w:spacing w:val="-3"/>
          <w:sz w:val="29"/>
          <w:szCs w:val="29"/>
        </w:rPr>
        <w:t>。《</w:t>
      </w:r>
      <w:r>
        <w:rPr>
          <w:rFonts w:hint="eastAsia" w:ascii="仿宋" w:hAnsi="仿宋" w:eastAsia="仿宋" w:cs="仿宋"/>
          <w:spacing w:val="-4"/>
          <w:sz w:val="29"/>
          <w:szCs w:val="29"/>
        </w:rPr>
        <w:t>深圳市市场监督管理局专项资金管理办法</w:t>
      </w:r>
      <w:r>
        <w:rPr>
          <w:rFonts w:ascii="仿宋" w:hAnsi="仿宋" w:eastAsia="仿宋" w:cs="仿宋"/>
          <w:spacing w:val="-1"/>
          <w:sz w:val="29"/>
          <w:szCs w:val="29"/>
        </w:rPr>
        <w:t>》施行，说明了</w:t>
      </w:r>
      <w:r>
        <w:rPr>
          <w:rFonts w:hint="eastAsia" w:ascii="仿宋" w:hAnsi="仿宋" w:eastAsia="仿宋" w:cs="仿宋"/>
          <w:spacing w:val="-4"/>
          <w:sz w:val="29"/>
          <w:szCs w:val="29"/>
          <w:lang w:val="en-US" w:eastAsia="zh-CN"/>
        </w:rPr>
        <w:t>农业食品发展、质量品牌领域</w:t>
      </w:r>
      <w:r>
        <w:rPr>
          <w:rFonts w:ascii="仿宋" w:hAnsi="仿宋" w:eastAsia="仿宋" w:cs="仿宋"/>
          <w:spacing w:val="-1"/>
          <w:sz w:val="29"/>
          <w:szCs w:val="29"/>
        </w:rPr>
        <w:t>奖励</w:t>
      </w:r>
      <w:r>
        <w:rPr>
          <w:rFonts w:hint="eastAsia" w:ascii="仿宋" w:hAnsi="仿宋" w:eastAsia="仿宋" w:cs="仿宋"/>
          <w:spacing w:val="-1"/>
          <w:sz w:val="29"/>
          <w:szCs w:val="29"/>
          <w:lang w:val="en-US" w:eastAsia="zh-CN"/>
        </w:rPr>
        <w:t>与资助</w:t>
      </w:r>
      <w:r>
        <w:rPr>
          <w:rFonts w:ascii="仿宋" w:hAnsi="仿宋" w:eastAsia="仿宋" w:cs="仿宋"/>
          <w:spacing w:val="-1"/>
          <w:sz w:val="29"/>
          <w:szCs w:val="29"/>
        </w:rPr>
        <w:t>制度的科学性、</w:t>
      </w:r>
      <w:r>
        <w:rPr>
          <w:rFonts w:ascii="仿宋" w:hAnsi="仿宋" w:eastAsia="仿宋" w:cs="仿宋"/>
          <w:spacing w:val="-3"/>
          <w:sz w:val="29"/>
          <w:szCs w:val="29"/>
        </w:rPr>
        <w:t>可行性以及合理性。政府网站或官方媒体上刊登了众多宣传、介绍的《</w:t>
      </w:r>
      <w:r>
        <w:rPr>
          <w:rFonts w:hint="eastAsia" w:ascii="仿宋" w:hAnsi="仿宋" w:eastAsia="仿宋" w:cs="仿宋"/>
          <w:spacing w:val="-4"/>
          <w:sz w:val="29"/>
          <w:szCs w:val="29"/>
        </w:rPr>
        <w:t>深圳市市场监督管理局专项资金管理办法</w:t>
      </w:r>
      <w:r>
        <w:rPr>
          <w:rFonts w:ascii="仿宋" w:hAnsi="仿宋" w:eastAsia="仿宋" w:cs="仿宋"/>
          <w:spacing w:val="-3"/>
          <w:sz w:val="29"/>
          <w:szCs w:val="29"/>
        </w:rPr>
        <w:t>》文章，</w:t>
      </w:r>
      <w:r>
        <w:rPr>
          <w:rFonts w:ascii="仿宋" w:hAnsi="仿宋" w:eastAsia="仿宋" w:cs="仿宋"/>
          <w:spacing w:val="-4"/>
          <w:sz w:val="29"/>
          <w:szCs w:val="29"/>
        </w:rPr>
        <w:t>为</w:t>
      </w:r>
      <w:r>
        <w:rPr>
          <w:rFonts w:hint="eastAsia" w:ascii="仿宋" w:hAnsi="仿宋" w:eastAsia="仿宋" w:cs="仿宋"/>
          <w:spacing w:val="-3"/>
          <w:sz w:val="29"/>
          <w:szCs w:val="29"/>
          <w:lang w:val="en-US" w:eastAsia="zh-CN"/>
        </w:rPr>
        <w:t>《若干措施》</w:t>
      </w:r>
      <w:r>
        <w:rPr>
          <w:rFonts w:ascii="仿宋" w:hAnsi="仿宋" w:eastAsia="仿宋" w:cs="仿宋"/>
          <w:spacing w:val="-3"/>
          <w:sz w:val="29"/>
          <w:szCs w:val="29"/>
        </w:rPr>
        <w:t>的实施提供了一个良好的外部环境，</w:t>
      </w:r>
      <w:r>
        <w:rPr>
          <w:rFonts w:ascii="仿宋" w:hAnsi="仿宋" w:eastAsia="仿宋" w:cs="仿宋"/>
          <w:spacing w:val="-4"/>
          <w:sz w:val="29"/>
          <w:szCs w:val="29"/>
        </w:rPr>
        <w:t>奠定了</w:t>
      </w:r>
      <w:r>
        <w:rPr>
          <w:rFonts w:hint="eastAsia" w:ascii="仿宋" w:hAnsi="仿宋" w:eastAsia="仿宋" w:cs="仿宋"/>
          <w:spacing w:val="-5"/>
          <w:sz w:val="29"/>
          <w:szCs w:val="29"/>
          <w:lang w:val="en-US" w:eastAsia="zh-CN"/>
        </w:rPr>
        <w:t>《若干措施》</w:t>
      </w:r>
      <w:r>
        <w:rPr>
          <w:rFonts w:ascii="仿宋" w:hAnsi="仿宋" w:eastAsia="仿宋" w:cs="仿宋"/>
          <w:spacing w:val="-5"/>
          <w:sz w:val="29"/>
          <w:szCs w:val="29"/>
        </w:rPr>
        <w:t>制定和实施的基础。</w:t>
      </w:r>
    </w:p>
    <w:p>
      <w:pPr>
        <w:spacing w:before="94" w:line="382" w:lineRule="auto"/>
        <w:ind w:left="39" w:right="254" w:firstLine="760"/>
        <w:jc w:val="both"/>
        <w:outlineLvl w:val="2"/>
        <w:rPr>
          <w:rFonts w:hint="default" w:ascii="黑体" w:hAnsi="黑体" w:eastAsia="黑体" w:cs="黑体"/>
          <w:sz w:val="29"/>
          <w:szCs w:val="29"/>
          <w:lang w:val="en-US" w:eastAsia="zh-CN"/>
        </w:rPr>
      </w:pPr>
      <w:r>
        <w:rPr>
          <w:rFonts w:ascii="黑体" w:hAnsi="黑体" w:eastAsia="黑体" w:cs="黑体"/>
          <w:b/>
          <w:bCs/>
          <w:spacing w:val="-11"/>
          <w:sz w:val="29"/>
          <w:szCs w:val="29"/>
        </w:rPr>
        <w:t>(</w:t>
      </w:r>
      <w:r>
        <w:rPr>
          <w:rFonts w:hint="eastAsia" w:ascii="黑体" w:hAnsi="黑体" w:eastAsia="黑体" w:cs="黑体"/>
          <w:b/>
          <w:bCs/>
          <w:spacing w:val="-11"/>
          <w:sz w:val="29"/>
          <w:szCs w:val="29"/>
          <w:lang w:val="en-US" w:eastAsia="zh-CN"/>
        </w:rPr>
        <w:t>四</w:t>
      </w:r>
      <w:r>
        <w:rPr>
          <w:rFonts w:ascii="黑体" w:hAnsi="黑体" w:eastAsia="黑体" w:cs="黑体"/>
          <w:b/>
          <w:bCs/>
          <w:spacing w:val="-11"/>
          <w:sz w:val="29"/>
          <w:szCs w:val="29"/>
        </w:rPr>
        <w:t>)</w:t>
      </w:r>
      <w:r>
        <w:rPr>
          <w:rFonts w:hint="eastAsia" w:ascii="黑体" w:hAnsi="黑体" w:eastAsia="黑体" w:cs="黑体"/>
          <w:b/>
          <w:bCs/>
          <w:spacing w:val="-11"/>
          <w:sz w:val="29"/>
          <w:szCs w:val="29"/>
          <w:lang w:val="en-US" w:eastAsia="zh-CN"/>
        </w:rPr>
        <w:t>充分征求并采纳各方意见</w:t>
      </w:r>
      <w:r>
        <w:rPr>
          <w:rFonts w:ascii="黑体" w:hAnsi="黑体" w:eastAsia="黑体" w:cs="黑体"/>
          <w:b/>
          <w:bCs/>
          <w:spacing w:val="-6"/>
          <w:sz w:val="29"/>
          <w:szCs w:val="29"/>
        </w:rPr>
        <w:t>，</w:t>
      </w:r>
      <w:r>
        <w:rPr>
          <w:rFonts w:hint="eastAsia" w:ascii="黑体" w:hAnsi="黑体" w:eastAsia="黑体" w:cs="黑体"/>
          <w:b/>
          <w:bCs/>
          <w:spacing w:val="-6"/>
          <w:sz w:val="29"/>
          <w:szCs w:val="29"/>
          <w:lang w:val="en-US" w:eastAsia="zh-CN"/>
        </w:rPr>
        <w:t>增强了《若干措施》</w:t>
      </w:r>
      <w:r>
        <w:rPr>
          <w:rFonts w:ascii="黑体" w:hAnsi="黑体" w:eastAsia="黑体" w:cs="黑体"/>
          <w:b/>
          <w:bCs/>
          <w:spacing w:val="-6"/>
          <w:sz w:val="29"/>
          <w:szCs w:val="29"/>
        </w:rPr>
        <w:t>的制定和施行</w:t>
      </w:r>
      <w:r>
        <w:rPr>
          <w:rFonts w:hint="eastAsia" w:ascii="黑体" w:hAnsi="黑体" w:eastAsia="黑体" w:cs="黑体"/>
          <w:b/>
          <w:bCs/>
          <w:spacing w:val="-6"/>
          <w:sz w:val="29"/>
          <w:szCs w:val="29"/>
          <w:lang w:val="en-US" w:eastAsia="zh-CN"/>
        </w:rPr>
        <w:t>的可行性依据。</w:t>
      </w:r>
    </w:p>
    <w:p>
      <w:pPr>
        <w:spacing w:before="95" w:line="382" w:lineRule="auto"/>
        <w:ind w:left="199" w:right="316" w:firstLine="565"/>
        <w:jc w:val="both"/>
        <w:rPr>
          <w:rFonts w:hint="default" w:ascii="仿宋" w:hAnsi="仿宋" w:eastAsia="仿宋" w:cs="仿宋"/>
          <w:spacing w:val="-2"/>
          <w:sz w:val="29"/>
          <w:szCs w:val="29"/>
          <w:lang w:val="en-US"/>
        </w:rPr>
      </w:pPr>
      <w:r>
        <w:rPr>
          <w:rFonts w:hint="eastAsia" w:ascii="仿宋" w:hAnsi="仿宋" w:eastAsia="仿宋" w:cs="仿宋"/>
          <w:spacing w:val="-2"/>
          <w:sz w:val="29"/>
          <w:szCs w:val="29"/>
        </w:rPr>
        <w:t>政策制定研究期间，</w:t>
      </w:r>
      <w:r>
        <w:rPr>
          <w:rFonts w:hint="eastAsia" w:ascii="仿宋" w:hAnsi="仿宋" w:eastAsia="仿宋" w:cs="仿宋"/>
          <w:spacing w:val="-5"/>
          <w:sz w:val="29"/>
          <w:szCs w:val="29"/>
          <w:lang w:val="en-US" w:eastAsia="zh-CN"/>
        </w:rPr>
        <w:t>深圳市市场监督管理局</w:t>
      </w:r>
      <w:r>
        <w:rPr>
          <w:rFonts w:hint="eastAsia" w:ascii="仿宋" w:hAnsi="仿宋" w:eastAsia="仿宋" w:cs="仿宋"/>
          <w:spacing w:val="-2"/>
          <w:sz w:val="29"/>
          <w:szCs w:val="29"/>
        </w:rPr>
        <w:t>以分享交流会形式，汇集各部门需求、工作计划等并研究修改完善。2022年7月</w:t>
      </w:r>
      <w:r>
        <w:rPr>
          <w:rFonts w:hint="eastAsia" w:ascii="仿宋" w:hAnsi="仿宋" w:eastAsia="仿宋" w:cs="仿宋"/>
          <w:spacing w:val="-2"/>
          <w:sz w:val="29"/>
          <w:szCs w:val="29"/>
          <w:lang w:eastAsia="zh-CN"/>
        </w:rPr>
        <w:t>、</w:t>
      </w:r>
      <w:r>
        <w:rPr>
          <w:rFonts w:hint="eastAsia" w:ascii="仿宋" w:hAnsi="仿宋" w:eastAsia="仿宋" w:cs="仿宋"/>
          <w:spacing w:val="-2"/>
          <w:sz w:val="29"/>
          <w:szCs w:val="29"/>
        </w:rPr>
        <w:t>2022年</w:t>
      </w:r>
      <w:r>
        <w:rPr>
          <w:rFonts w:hint="eastAsia" w:ascii="仿宋" w:hAnsi="仿宋" w:eastAsia="仿宋" w:cs="仿宋"/>
          <w:spacing w:val="-2"/>
          <w:sz w:val="29"/>
          <w:szCs w:val="29"/>
          <w:lang w:val="en-US" w:eastAsia="zh-CN"/>
        </w:rPr>
        <w:t>10</w:t>
      </w:r>
      <w:r>
        <w:rPr>
          <w:rFonts w:hint="eastAsia" w:ascii="仿宋" w:hAnsi="仿宋" w:eastAsia="仿宋" w:cs="仿宋"/>
          <w:spacing w:val="-2"/>
          <w:sz w:val="29"/>
          <w:szCs w:val="29"/>
        </w:rPr>
        <w:t>月</w:t>
      </w:r>
      <w:r>
        <w:rPr>
          <w:rFonts w:hint="eastAsia" w:ascii="仿宋" w:hAnsi="仿宋" w:eastAsia="仿宋" w:cs="仿宋"/>
          <w:spacing w:val="-2"/>
          <w:sz w:val="29"/>
          <w:szCs w:val="29"/>
          <w:lang w:eastAsia="zh-CN"/>
        </w:rPr>
        <w:t>、</w:t>
      </w:r>
      <w:r>
        <w:rPr>
          <w:rFonts w:hint="eastAsia" w:ascii="仿宋" w:hAnsi="仿宋" w:eastAsia="仿宋" w:cs="仿宋"/>
          <w:spacing w:val="-2"/>
          <w:sz w:val="29"/>
          <w:szCs w:val="29"/>
        </w:rPr>
        <w:t>202</w:t>
      </w:r>
      <w:r>
        <w:rPr>
          <w:rFonts w:hint="eastAsia" w:ascii="仿宋" w:hAnsi="仿宋" w:eastAsia="仿宋" w:cs="仿宋"/>
          <w:spacing w:val="-2"/>
          <w:sz w:val="29"/>
          <w:szCs w:val="29"/>
          <w:lang w:val="en-US" w:eastAsia="zh-CN"/>
        </w:rPr>
        <w:t>3</w:t>
      </w:r>
      <w:r>
        <w:rPr>
          <w:rFonts w:hint="eastAsia" w:ascii="仿宋" w:hAnsi="仿宋" w:eastAsia="仿宋" w:cs="仿宋"/>
          <w:spacing w:val="-2"/>
          <w:sz w:val="29"/>
          <w:szCs w:val="29"/>
        </w:rPr>
        <w:t>年</w:t>
      </w:r>
      <w:r>
        <w:rPr>
          <w:rFonts w:hint="eastAsia" w:ascii="仿宋" w:hAnsi="仿宋" w:eastAsia="仿宋" w:cs="仿宋"/>
          <w:spacing w:val="-2"/>
          <w:sz w:val="29"/>
          <w:szCs w:val="29"/>
          <w:lang w:val="en-US" w:eastAsia="zh-CN"/>
        </w:rPr>
        <w:t>3</w:t>
      </w:r>
      <w:r>
        <w:rPr>
          <w:rFonts w:hint="eastAsia" w:ascii="仿宋" w:hAnsi="仿宋" w:eastAsia="仿宋" w:cs="仿宋"/>
          <w:spacing w:val="-2"/>
          <w:sz w:val="29"/>
          <w:szCs w:val="29"/>
        </w:rPr>
        <w:t>月，</w:t>
      </w:r>
      <w:r>
        <w:rPr>
          <w:rFonts w:hint="eastAsia" w:ascii="仿宋" w:hAnsi="仿宋" w:eastAsia="仿宋" w:cs="仿宋"/>
          <w:spacing w:val="-5"/>
          <w:sz w:val="29"/>
          <w:szCs w:val="29"/>
          <w:lang w:val="en-US" w:eastAsia="zh-CN"/>
        </w:rPr>
        <w:t>深圳市市场监督管理局先后三次征求各部门意见，</w:t>
      </w:r>
      <w:r>
        <w:rPr>
          <w:rFonts w:hint="eastAsia" w:ascii="仿宋" w:hAnsi="仿宋" w:eastAsia="仿宋" w:cs="仿宋"/>
          <w:spacing w:val="-2"/>
          <w:sz w:val="29"/>
          <w:szCs w:val="29"/>
        </w:rPr>
        <w:t>202</w:t>
      </w:r>
      <w:r>
        <w:rPr>
          <w:rFonts w:hint="eastAsia" w:ascii="仿宋" w:hAnsi="仿宋" w:eastAsia="仿宋" w:cs="仿宋"/>
          <w:spacing w:val="-2"/>
          <w:sz w:val="29"/>
          <w:szCs w:val="29"/>
          <w:lang w:val="en-US" w:eastAsia="zh-CN"/>
        </w:rPr>
        <w:t>2</w:t>
      </w:r>
      <w:r>
        <w:rPr>
          <w:rFonts w:hint="eastAsia" w:ascii="仿宋" w:hAnsi="仿宋" w:eastAsia="仿宋" w:cs="仿宋"/>
          <w:spacing w:val="-2"/>
          <w:sz w:val="29"/>
          <w:szCs w:val="29"/>
        </w:rPr>
        <w:t>年</w:t>
      </w:r>
      <w:r>
        <w:rPr>
          <w:rFonts w:hint="eastAsia" w:ascii="仿宋" w:hAnsi="仿宋" w:eastAsia="仿宋" w:cs="仿宋"/>
          <w:spacing w:val="-2"/>
          <w:sz w:val="29"/>
          <w:szCs w:val="29"/>
          <w:lang w:val="en-US" w:eastAsia="zh-CN"/>
        </w:rPr>
        <w:t>10</w:t>
      </w:r>
      <w:r>
        <w:rPr>
          <w:rFonts w:hint="eastAsia" w:ascii="仿宋" w:hAnsi="仿宋" w:eastAsia="仿宋" w:cs="仿宋"/>
          <w:spacing w:val="-2"/>
          <w:sz w:val="29"/>
          <w:szCs w:val="29"/>
        </w:rPr>
        <w:t>月，</w:t>
      </w:r>
      <w:r>
        <w:rPr>
          <w:rFonts w:hint="eastAsia" w:ascii="仿宋" w:hAnsi="仿宋" w:eastAsia="仿宋" w:cs="仿宋"/>
          <w:spacing w:val="-5"/>
          <w:sz w:val="29"/>
          <w:szCs w:val="29"/>
          <w:lang w:val="en-US" w:eastAsia="zh-CN"/>
        </w:rPr>
        <w:t>深圳市市场监督管理局</w:t>
      </w:r>
      <w:r>
        <w:rPr>
          <w:rFonts w:hint="eastAsia" w:ascii="仿宋" w:hAnsi="仿宋" w:eastAsia="仿宋" w:cs="仿宋"/>
          <w:spacing w:val="-2"/>
          <w:sz w:val="29"/>
          <w:szCs w:val="29"/>
        </w:rPr>
        <w:t>向</w:t>
      </w:r>
      <w:r>
        <w:rPr>
          <w:rFonts w:hint="eastAsia" w:ascii="仿宋" w:hAnsi="仿宋" w:eastAsia="仿宋" w:cs="仿宋"/>
          <w:spacing w:val="-2"/>
          <w:sz w:val="29"/>
          <w:szCs w:val="29"/>
          <w:lang w:val="en-US" w:eastAsia="zh-CN"/>
        </w:rPr>
        <w:t>公众</w:t>
      </w:r>
      <w:r>
        <w:rPr>
          <w:rFonts w:hint="eastAsia" w:ascii="仿宋" w:hAnsi="仿宋" w:eastAsia="仿宋" w:cs="仿宋"/>
          <w:spacing w:val="-2"/>
          <w:sz w:val="29"/>
          <w:szCs w:val="29"/>
        </w:rPr>
        <w:t>征求意见，</w:t>
      </w:r>
      <w:r>
        <w:rPr>
          <w:rFonts w:hint="eastAsia" w:ascii="仿宋" w:hAnsi="仿宋" w:eastAsia="仿宋" w:cs="仿宋"/>
          <w:spacing w:val="-2"/>
          <w:sz w:val="29"/>
          <w:szCs w:val="29"/>
          <w:lang w:val="en-US" w:eastAsia="zh-CN"/>
        </w:rPr>
        <w:t>上述意见中，主要一是压减条款的建议，如市财政局提出的建议删除《若干措施》中的财政支持条款“中小微农业奖励项目”、“首台（套）农业装备销售奖励项目”“境外农业生产基地建设奖励项目”等补贴政策，综合研究制定预制菜补贴措施，压减部分条款补贴标准，二是与相关部门职能不符的，如市生态环境局提出的建议删除《若干措施》（十三）保障粮食生产和安全责任单位中的“市生态环境局”的责任单位，如深汕特别合作区提出的制定林业发展扶持政策，三是统一标准的，如市发展改革委建议《若干措施》政策表述和现行的《深圳市促进大健康产业集群高质量发展的若干措施》（深发改规〔2022〕10 号）标准保持一致，各单位及社会公众提出的意见，</w:t>
      </w:r>
      <w:r>
        <w:rPr>
          <w:rFonts w:hint="eastAsia" w:ascii="仿宋" w:hAnsi="仿宋" w:eastAsia="仿宋" w:cs="仿宋"/>
          <w:spacing w:val="-5"/>
          <w:sz w:val="29"/>
          <w:szCs w:val="29"/>
          <w:lang w:val="en-US" w:eastAsia="zh-CN"/>
        </w:rPr>
        <w:t>深圳市市场监督管理局</w:t>
      </w:r>
      <w:r>
        <w:rPr>
          <w:rFonts w:hint="eastAsia" w:ascii="仿宋" w:hAnsi="仿宋" w:eastAsia="仿宋" w:cs="仿宋"/>
          <w:spacing w:val="-2"/>
          <w:sz w:val="29"/>
          <w:szCs w:val="29"/>
          <w:lang w:val="en-US" w:eastAsia="zh-CN"/>
        </w:rPr>
        <w:t>均认真研究并</w:t>
      </w:r>
      <w:r>
        <w:rPr>
          <w:rFonts w:hint="eastAsia" w:ascii="仿宋" w:hAnsi="仿宋" w:eastAsia="仿宋" w:cs="仿宋"/>
          <w:spacing w:val="-2"/>
          <w:sz w:val="29"/>
          <w:szCs w:val="29"/>
        </w:rPr>
        <w:t>汇总统筹研究</w:t>
      </w:r>
      <w:r>
        <w:rPr>
          <w:rFonts w:hint="eastAsia" w:ascii="仿宋" w:hAnsi="仿宋" w:eastAsia="仿宋" w:cs="仿宋"/>
          <w:spacing w:val="-2"/>
          <w:sz w:val="29"/>
          <w:szCs w:val="29"/>
          <w:lang w:val="en-US" w:eastAsia="zh-CN"/>
        </w:rPr>
        <w:t>吸纳，增强了《若干措施》的制定和施行的可行性依据。</w:t>
      </w:r>
    </w:p>
    <w:p>
      <w:pPr>
        <w:spacing w:line="362" w:lineRule="auto"/>
        <w:rPr>
          <w:rFonts w:ascii="Arial"/>
          <w:sz w:val="21"/>
        </w:rPr>
      </w:pPr>
    </w:p>
    <w:p>
      <w:pPr>
        <w:spacing w:before="95" w:line="222" w:lineRule="auto"/>
        <w:ind w:left="669"/>
        <w:outlineLvl w:val="1"/>
        <w:rPr>
          <w:rFonts w:ascii="黑体" w:hAnsi="黑体" w:eastAsia="黑体" w:cs="黑体"/>
          <w:sz w:val="29"/>
          <w:szCs w:val="29"/>
        </w:rPr>
      </w:pPr>
      <w:bookmarkStart w:id="24" w:name="_Toc11845"/>
      <w:r>
        <w:rPr>
          <w:rFonts w:ascii="黑体" w:hAnsi="黑体" w:eastAsia="黑体" w:cs="黑体"/>
          <w:b/>
          <w:bCs/>
          <w:spacing w:val="-13"/>
          <w:sz w:val="29"/>
          <w:szCs w:val="29"/>
        </w:rPr>
        <w:t>四、可控性评估</w:t>
      </w:r>
      <w:bookmarkEnd w:id="24"/>
    </w:p>
    <w:p>
      <w:pPr>
        <w:spacing w:line="315" w:lineRule="auto"/>
        <w:rPr>
          <w:rFonts w:ascii="Arial"/>
          <w:sz w:val="21"/>
        </w:rPr>
      </w:pPr>
    </w:p>
    <w:p>
      <w:pPr>
        <w:spacing w:before="95" w:line="383" w:lineRule="auto"/>
        <w:ind w:left="34" w:right="206" w:firstLine="639"/>
        <w:jc w:val="both"/>
        <w:rPr>
          <w:rFonts w:ascii="仿宋" w:hAnsi="仿宋" w:eastAsia="仿宋" w:cs="仿宋"/>
          <w:sz w:val="29"/>
          <w:szCs w:val="29"/>
        </w:rPr>
      </w:pPr>
      <w:r>
        <w:rPr>
          <w:rFonts w:ascii="仿宋" w:hAnsi="仿宋" w:eastAsia="仿宋" w:cs="仿宋"/>
          <w:spacing w:val="-4"/>
          <w:sz w:val="29"/>
          <w:szCs w:val="29"/>
        </w:rPr>
        <w:t>可控性评估在于确定</w:t>
      </w:r>
      <w:r>
        <w:rPr>
          <w:rFonts w:hint="eastAsia" w:ascii="仿宋" w:hAnsi="仿宋" w:eastAsia="仿宋" w:cs="仿宋"/>
          <w:spacing w:val="-4"/>
          <w:sz w:val="29"/>
          <w:szCs w:val="29"/>
          <w:lang w:val="en-US" w:eastAsia="zh-CN"/>
        </w:rPr>
        <w:t>《若干措施》</w:t>
      </w:r>
      <w:r>
        <w:rPr>
          <w:rFonts w:ascii="仿宋" w:hAnsi="仿宋" w:eastAsia="仿宋" w:cs="仿宋"/>
          <w:spacing w:val="-4"/>
          <w:sz w:val="29"/>
          <w:szCs w:val="29"/>
        </w:rPr>
        <w:t>的施行是否存在公共</w:t>
      </w:r>
      <w:r>
        <w:rPr>
          <w:rFonts w:ascii="仿宋" w:hAnsi="仿宋" w:eastAsia="仿宋" w:cs="仿宋"/>
          <w:spacing w:val="-3"/>
          <w:sz w:val="29"/>
          <w:szCs w:val="29"/>
        </w:rPr>
        <w:t>安全隐患、引发群体性事件、造成重大社会负面影响等社会稳定问题，以及对可能引发社会稳定风险的可控程度、预防和化解相</w:t>
      </w:r>
      <w:r>
        <w:rPr>
          <w:rFonts w:ascii="仿宋" w:hAnsi="仿宋" w:eastAsia="仿宋" w:cs="仿宋"/>
          <w:spacing w:val="-5"/>
          <w:sz w:val="29"/>
          <w:szCs w:val="29"/>
        </w:rPr>
        <w:t>应措施。</w:t>
      </w:r>
    </w:p>
    <w:p>
      <w:pPr>
        <w:spacing w:line="310" w:lineRule="auto"/>
        <w:rPr>
          <w:rFonts w:ascii="Arial"/>
          <w:sz w:val="21"/>
        </w:rPr>
      </w:pPr>
    </w:p>
    <w:p>
      <w:pPr>
        <w:spacing w:before="94" w:line="222" w:lineRule="auto"/>
        <w:ind w:left="799"/>
        <w:outlineLvl w:val="2"/>
        <w:rPr>
          <w:rFonts w:ascii="黑体" w:hAnsi="黑体" w:eastAsia="黑体" w:cs="黑体"/>
          <w:sz w:val="29"/>
          <w:szCs w:val="29"/>
        </w:rPr>
      </w:pPr>
      <w:bookmarkStart w:id="25" w:name="_Toc2707"/>
      <w:r>
        <w:rPr>
          <w:rFonts w:ascii="黑体" w:hAnsi="黑体" w:eastAsia="黑体" w:cs="黑体"/>
          <w:b/>
          <w:bCs/>
          <w:spacing w:val="9"/>
          <w:sz w:val="29"/>
          <w:szCs w:val="29"/>
        </w:rPr>
        <w:t>(一)可能存在的风险点</w:t>
      </w:r>
      <w:bookmarkEnd w:id="25"/>
    </w:p>
    <w:p>
      <w:pPr>
        <w:spacing w:line="315" w:lineRule="auto"/>
        <w:rPr>
          <w:rFonts w:ascii="Arial"/>
          <w:sz w:val="21"/>
        </w:rPr>
      </w:pPr>
    </w:p>
    <w:p>
      <w:pPr>
        <w:spacing w:before="95" w:line="383" w:lineRule="auto"/>
        <w:ind w:left="34" w:right="206" w:firstLine="639"/>
        <w:jc w:val="both"/>
        <w:rPr>
          <w:rFonts w:ascii="仿宋" w:hAnsi="仿宋" w:eastAsia="仿宋" w:cs="仿宋"/>
          <w:spacing w:val="-4"/>
          <w:sz w:val="29"/>
          <w:szCs w:val="29"/>
        </w:rPr>
      </w:pPr>
      <w:r>
        <w:rPr>
          <w:rFonts w:hint="eastAsia" w:ascii="仿宋" w:hAnsi="仿宋" w:eastAsia="仿宋" w:cs="仿宋"/>
          <w:spacing w:val="-4"/>
          <w:sz w:val="29"/>
          <w:szCs w:val="29"/>
          <w:lang w:val="en-US" w:eastAsia="zh-CN"/>
        </w:rPr>
        <w:t>《若干措施》</w:t>
      </w:r>
      <w:r>
        <w:rPr>
          <w:rFonts w:ascii="仿宋" w:hAnsi="仿宋" w:eastAsia="仿宋" w:cs="仿宋"/>
          <w:spacing w:val="-4"/>
          <w:sz w:val="29"/>
          <w:szCs w:val="29"/>
        </w:rPr>
        <w:t>内容上既包括原则性的指导建议，也有明确的硬性量化要求，可能存在的风险如下：</w:t>
      </w:r>
    </w:p>
    <w:p>
      <w:pPr>
        <w:spacing w:before="253" w:line="221" w:lineRule="auto"/>
        <w:ind w:left="629"/>
        <w:outlineLvl w:val="9"/>
        <w:rPr>
          <w:rFonts w:ascii="仿宋" w:hAnsi="仿宋" w:eastAsia="仿宋" w:cs="仿宋"/>
          <w:sz w:val="29"/>
          <w:szCs w:val="29"/>
        </w:rPr>
      </w:pPr>
      <w:r>
        <w:rPr>
          <w:rFonts w:ascii="仿宋" w:hAnsi="仿宋" w:eastAsia="仿宋" w:cs="仿宋"/>
          <w:b/>
          <w:bCs/>
          <w:spacing w:val="-2"/>
          <w:sz w:val="29"/>
          <w:szCs w:val="29"/>
        </w:rPr>
        <w:t>1.</w:t>
      </w:r>
      <w:r>
        <w:rPr>
          <w:rFonts w:hint="eastAsia" w:ascii="仿宋" w:hAnsi="仿宋" w:eastAsia="仿宋" w:cs="仿宋"/>
          <w:b/>
          <w:bCs/>
          <w:spacing w:val="-2"/>
          <w:sz w:val="29"/>
          <w:szCs w:val="29"/>
        </w:rPr>
        <w:t>农业企业专项资金缺乏有效的监督</w:t>
      </w:r>
    </w:p>
    <w:p>
      <w:pPr>
        <w:spacing w:before="268" w:line="382" w:lineRule="auto"/>
        <w:ind w:left="74" w:right="209" w:firstLine="590"/>
        <w:jc w:val="both"/>
        <w:rPr>
          <w:rFonts w:ascii="仿宋" w:hAnsi="仿宋" w:eastAsia="仿宋" w:cs="仿宋"/>
          <w:sz w:val="29"/>
          <w:szCs w:val="29"/>
        </w:rPr>
      </w:pPr>
      <w:r>
        <w:rPr>
          <w:rFonts w:hint="eastAsia" w:ascii="仿宋" w:hAnsi="仿宋" w:eastAsia="仿宋" w:cs="仿宋"/>
          <w:spacing w:val="-9"/>
          <w:sz w:val="29"/>
          <w:szCs w:val="29"/>
        </w:rPr>
        <w:t>中国农业企业仍处于初步发展阶段，在规范各种专项资金的使用和管理方面仍有许多工作要做，农业企业专项资金的管理制度有待完善。在使用资金之前，农业企业缺乏全面的项目研究，包括对项目资金使用情况的调查和评估、需要一个更专业的审计小组。审计程序和相关标准仍然薄弱，而且没有系统的评价制度，这种管理不利于对资金的使用情况进行准确的科学评估，也不利于对资金的使用情况进行更好的管理。与此同时，农业项目资金的管理和使用仍然是一个挑战。农业项目与农民的切身利益密切相关。农业企业应建立健全农业项目开发制度，以确保其科学性和合理性，并尽可能避免因项目失败而浪费资金的情况。此外，在使用资金方面，农业企业必须加强对资金的监督和管理，当局必须明确界定企业各部门的作用和责任</w:t>
      </w:r>
      <w:r>
        <w:rPr>
          <w:rFonts w:ascii="仿宋" w:hAnsi="仿宋" w:eastAsia="仿宋" w:cs="仿宋"/>
          <w:spacing w:val="-9"/>
          <w:sz w:val="29"/>
          <w:szCs w:val="29"/>
        </w:rPr>
        <w:t>。</w:t>
      </w:r>
    </w:p>
    <w:p>
      <w:pPr>
        <w:spacing w:before="324" w:line="220" w:lineRule="auto"/>
        <w:ind w:left="629"/>
        <w:outlineLvl w:val="9"/>
        <w:rPr>
          <w:rFonts w:ascii="Arial"/>
          <w:sz w:val="21"/>
        </w:rPr>
      </w:pPr>
      <w:r>
        <w:rPr>
          <w:rFonts w:ascii="仿宋" w:hAnsi="仿宋" w:eastAsia="仿宋" w:cs="仿宋"/>
          <w:b/>
          <w:bCs/>
          <w:sz w:val="29"/>
          <w:szCs w:val="29"/>
        </w:rPr>
        <w:t>2.</w:t>
      </w:r>
      <w:r>
        <w:rPr>
          <w:rFonts w:hint="eastAsia" w:ascii="仿宋" w:hAnsi="仿宋" w:eastAsia="仿宋" w:cs="仿宋"/>
          <w:b/>
          <w:bCs/>
          <w:sz w:val="29"/>
          <w:szCs w:val="29"/>
        </w:rPr>
        <w:t>资金申报管理与核算</w:t>
      </w:r>
      <w:r>
        <w:rPr>
          <w:rFonts w:hint="eastAsia" w:ascii="仿宋" w:hAnsi="仿宋" w:eastAsia="仿宋" w:cs="仿宋"/>
          <w:b/>
          <w:bCs/>
          <w:sz w:val="29"/>
          <w:szCs w:val="29"/>
          <w:lang w:val="en-US" w:eastAsia="zh-CN"/>
        </w:rPr>
        <w:t>可能</w:t>
      </w:r>
      <w:r>
        <w:rPr>
          <w:rFonts w:hint="eastAsia" w:ascii="仿宋" w:hAnsi="仿宋" w:eastAsia="仿宋" w:cs="仿宋"/>
          <w:b/>
          <w:bCs/>
          <w:sz w:val="29"/>
          <w:szCs w:val="29"/>
        </w:rPr>
        <w:t>不规范</w:t>
      </w:r>
    </w:p>
    <w:p>
      <w:pPr>
        <w:spacing w:line="260" w:lineRule="auto"/>
        <w:rPr>
          <w:rFonts w:ascii="Arial"/>
          <w:sz w:val="21"/>
        </w:rPr>
      </w:pPr>
    </w:p>
    <w:p>
      <w:pPr>
        <w:spacing w:before="94" w:line="610" w:lineRule="exact"/>
        <w:ind w:firstLine="504" w:firstLineChars="200"/>
        <w:jc w:val="both"/>
        <w:rPr>
          <w:rFonts w:ascii="仿宋" w:hAnsi="仿宋" w:eastAsia="仿宋" w:cs="仿宋"/>
          <w:sz w:val="29"/>
          <w:szCs w:val="29"/>
        </w:rPr>
      </w:pPr>
      <w:r>
        <w:rPr>
          <w:rFonts w:hint="eastAsia" w:ascii="仿宋" w:hAnsi="仿宋" w:eastAsia="仿宋" w:cs="仿宋"/>
          <w:spacing w:val="-19"/>
          <w:position w:val="24"/>
          <w:sz w:val="29"/>
          <w:szCs w:val="29"/>
        </w:rPr>
        <w:t>一些农业机构在申请农业专项资金、追加发展资金时，经常虚报项目规模和资金需求。例如，某些农业机构在申请农业机械补贴的农业专项资金时，明显违反了国家法律规定，将</w:t>
      </w:r>
      <w:r>
        <w:rPr>
          <w:rFonts w:hint="eastAsia" w:ascii="仿宋" w:hAnsi="仿宋" w:eastAsia="仿宋" w:cs="仿宋"/>
          <w:spacing w:val="-19"/>
          <w:position w:val="24"/>
          <w:sz w:val="29"/>
          <w:szCs w:val="29"/>
          <w:lang w:val="en-US" w:eastAsia="zh-CN"/>
        </w:rPr>
        <w:t>补贴目录</w:t>
      </w:r>
      <w:r>
        <w:rPr>
          <w:rFonts w:hint="eastAsia" w:ascii="仿宋" w:hAnsi="仿宋" w:eastAsia="仿宋" w:cs="仿宋"/>
          <w:spacing w:val="-19"/>
          <w:position w:val="24"/>
          <w:sz w:val="29"/>
          <w:szCs w:val="29"/>
        </w:rPr>
        <w:t>以外的设备纳入农业机械补贴的范围。部分农业单位获得农业专项资金后，由于这笔资金的无偿性，部分违法人员挪用、挤占资金。预算编制不服从质量保证、降低成本的要求，同时忽视了项目进行中非常容易出现的各类问题，除了造成后期频繁调整、预算变更的影响外，还会造成部分农业单位在财务核算上出现很多问题。</w:t>
      </w:r>
    </w:p>
    <w:p>
      <w:pPr>
        <w:spacing w:line="359" w:lineRule="auto"/>
        <w:rPr>
          <w:rFonts w:ascii="Arial"/>
          <w:sz w:val="21"/>
        </w:rPr>
      </w:pPr>
    </w:p>
    <w:p>
      <w:pPr>
        <w:spacing w:before="94" w:line="221" w:lineRule="auto"/>
        <w:ind w:left="659"/>
        <w:outlineLvl w:val="2"/>
        <w:rPr>
          <w:rFonts w:ascii="黑体" w:hAnsi="黑体" w:eastAsia="黑体" w:cs="黑体"/>
          <w:sz w:val="29"/>
          <w:szCs w:val="29"/>
          <w:highlight w:val="none"/>
        </w:rPr>
      </w:pPr>
      <w:bookmarkStart w:id="26" w:name="_Toc8760"/>
      <w:r>
        <w:rPr>
          <w:rFonts w:ascii="黑体" w:hAnsi="黑体" w:eastAsia="黑体" w:cs="黑体"/>
          <w:b/>
          <w:bCs/>
          <w:spacing w:val="4"/>
          <w:sz w:val="29"/>
          <w:szCs w:val="29"/>
        </w:rPr>
        <w:t>(二)</w:t>
      </w:r>
      <w:r>
        <w:rPr>
          <w:rFonts w:ascii="黑体" w:hAnsi="黑体" w:eastAsia="黑体" w:cs="黑体"/>
          <w:b/>
          <w:bCs/>
          <w:spacing w:val="4"/>
          <w:sz w:val="29"/>
          <w:szCs w:val="29"/>
          <w:highlight w:val="none"/>
        </w:rPr>
        <w:t>风险防范、减缓及化解措施建议</w:t>
      </w:r>
      <w:bookmarkEnd w:id="26"/>
    </w:p>
    <w:p>
      <w:pPr>
        <w:spacing w:line="304" w:lineRule="auto"/>
        <w:rPr>
          <w:rFonts w:ascii="Arial"/>
          <w:sz w:val="21"/>
        </w:rPr>
      </w:pPr>
    </w:p>
    <w:p>
      <w:pPr>
        <w:spacing w:before="94" w:line="221" w:lineRule="auto"/>
        <w:ind w:left="699"/>
        <w:outlineLvl w:val="9"/>
        <w:rPr>
          <w:rFonts w:ascii="仿宋" w:hAnsi="仿宋" w:eastAsia="仿宋" w:cs="仿宋"/>
          <w:sz w:val="29"/>
          <w:szCs w:val="29"/>
        </w:rPr>
      </w:pPr>
      <w:r>
        <w:rPr>
          <w:rFonts w:ascii="仿宋" w:hAnsi="仿宋" w:eastAsia="仿宋" w:cs="仿宋"/>
          <w:b/>
          <w:bCs/>
          <w:spacing w:val="-2"/>
          <w:sz w:val="29"/>
          <w:szCs w:val="29"/>
        </w:rPr>
        <w:t>1.</w:t>
      </w:r>
      <w:r>
        <w:rPr>
          <w:rFonts w:hint="eastAsia" w:ascii="仿宋" w:hAnsi="仿宋" w:eastAsia="仿宋" w:cs="仿宋"/>
          <w:b/>
          <w:bCs/>
          <w:spacing w:val="-2"/>
          <w:sz w:val="29"/>
          <w:szCs w:val="29"/>
        </w:rPr>
        <w:t>增强农业企业专项资金的监管</w:t>
      </w:r>
    </w:p>
    <w:p>
      <w:pPr>
        <w:spacing w:before="267" w:line="382" w:lineRule="auto"/>
        <w:ind w:left="94" w:right="193" w:firstLine="619"/>
        <w:jc w:val="both"/>
        <w:rPr>
          <w:rFonts w:ascii="仿宋" w:hAnsi="仿宋" w:eastAsia="仿宋" w:cs="仿宋"/>
          <w:sz w:val="29"/>
          <w:szCs w:val="29"/>
        </w:rPr>
      </w:pPr>
      <w:r>
        <w:rPr>
          <w:rFonts w:hint="eastAsia" w:ascii="仿宋" w:hAnsi="仿宋" w:eastAsia="仿宋" w:cs="仿宋"/>
          <w:sz w:val="29"/>
          <w:szCs w:val="29"/>
        </w:rPr>
        <w:t>关于农业企业特别基金的管理和监督问题，有关部门和企业应予以重视，继续解决资金日常管理和使用的管理和监督问题，从而完善企业特别基金的监督管理制度。第一，关于农业项目的制定和批准。有关企业必须严格审查农业项目，重点规划项目资金的使用，严格防范风险，坚决拒绝不符合要求的项目。对资金使用情况进行标准化评估，组建专业的项目实施评估和审计小组，引进专业人员，避免不合理的现金损失。第二，在资金使用过程中，企业必须加强对资金使用的监督和管理。监测资金的使用是一个优先事项，目的是确保资金的使用符合规划，严格管理项目资金的使用，同时不偏离既定模式，及时评估资金的使用情况，及时解决问题和风险，建立严格的监测和控制机制，以便逐步提高资金使用的透明度。在资金被滥用的情况下，监管机构应立即进行监测和检查，以消除滥用的早期迹象，并加强对资金使用风险的控制。第三，农业企业应创新和完善专项资金管理的模式。及时引进高端人才，加强人才队伍建设，建立专业资金管理队伍，提高资金管理的科学性；建立健全人才培养制度，借鉴农业企业的成功经验，为管理行业专项资金奠定坚实的基础。</w:t>
      </w:r>
    </w:p>
    <w:p>
      <w:pPr>
        <w:spacing w:before="278" w:line="221" w:lineRule="auto"/>
        <w:ind w:left="719"/>
        <w:outlineLvl w:val="9"/>
        <w:rPr>
          <w:rFonts w:ascii="仿宋" w:hAnsi="仿宋" w:eastAsia="仿宋" w:cs="仿宋"/>
          <w:sz w:val="29"/>
          <w:szCs w:val="29"/>
        </w:rPr>
      </w:pPr>
      <w:r>
        <w:rPr>
          <w:rFonts w:ascii="仿宋" w:hAnsi="仿宋" w:eastAsia="仿宋" w:cs="仿宋"/>
          <w:b/>
          <w:bCs/>
          <w:spacing w:val="-1"/>
          <w:sz w:val="29"/>
          <w:szCs w:val="29"/>
        </w:rPr>
        <w:t>2.</w:t>
      </w:r>
      <w:r>
        <w:rPr>
          <w:rFonts w:hint="eastAsia" w:ascii="仿宋" w:hAnsi="仿宋" w:eastAsia="仿宋" w:cs="仿宋"/>
          <w:b/>
          <w:bCs/>
          <w:spacing w:val="-1"/>
          <w:sz w:val="29"/>
          <w:szCs w:val="29"/>
        </w:rPr>
        <w:t>监督专项资金使用管理建立健全资金使用绩效评估机制</w:t>
      </w:r>
    </w:p>
    <w:p>
      <w:pPr>
        <w:spacing w:before="246" w:line="382" w:lineRule="auto"/>
        <w:ind w:left="134" w:right="135" w:firstLine="580"/>
        <w:jc w:val="both"/>
        <w:rPr>
          <w:rFonts w:ascii="Arial"/>
          <w:sz w:val="21"/>
        </w:rPr>
      </w:pPr>
      <w:r>
        <w:rPr>
          <w:rFonts w:hint="eastAsia" w:ascii="仿宋" w:hAnsi="仿宋" w:eastAsia="仿宋" w:cs="仿宋"/>
          <w:spacing w:val="-3"/>
          <w:sz w:val="29"/>
          <w:szCs w:val="29"/>
        </w:rPr>
        <w:t>提高资金使用效率的一个重要的方法就是加强对专项资金使用的监督管理。首先，对项目的监督检查要重视起来。注重项目的筛选以及立项调查、立项审批和立项实施的全过程监督。必须确保农业专项资金的专管人员实施严格的激励和威慑措施，并根据报账制的相关规定报送项目的执行情况和资金使用情况，配合审计和监督部门进行审计或检查农业专项资金。其次是建立健全绩效评估制度。金融部门和项目管理部门根据项目类型建立一个农业专项资金的业绩评估指标体系，并量化指标体系。绩效评估制度应建立一个基于专项资金使用周期的绩效制度，以鼓励良好行为和惩罚不当行为。在项目完成、审查和验收后，项目执行中应安排或委托有关专家审查专项资金项目的申报、甄选、实施、评估和验收的整个过程，提升严肃性，改进科学性和实效性。最后，建立公开的绩效评估制度。财政部门和项目管理部门必须建立一个公开发布绩效评估信息的制度，公开部分业绩评估的结果，逐步实行公布制度，提高公共支出的透明度，接受社会和人民的监督。</w:t>
      </w:r>
    </w:p>
    <w:p>
      <w:pPr>
        <w:rPr>
          <w:rFonts w:ascii="Arial"/>
          <w:sz w:val="21"/>
        </w:rPr>
      </w:pPr>
      <w:r>
        <w:rPr>
          <w:rFonts w:ascii="Arial"/>
          <w:sz w:val="21"/>
        </w:rPr>
        <w:br w:type="page"/>
      </w:r>
    </w:p>
    <w:p>
      <w:pPr>
        <w:spacing w:line="254" w:lineRule="auto"/>
        <w:rPr>
          <w:rFonts w:ascii="Arial"/>
          <w:sz w:val="21"/>
        </w:rPr>
      </w:pPr>
    </w:p>
    <w:p>
      <w:pPr>
        <w:spacing w:line="254" w:lineRule="auto"/>
        <w:rPr>
          <w:rFonts w:ascii="Arial"/>
          <w:sz w:val="21"/>
        </w:rPr>
      </w:pPr>
    </w:p>
    <w:p>
      <w:pPr>
        <w:spacing w:before="117" w:line="222" w:lineRule="auto"/>
        <w:ind w:left="2646"/>
        <w:outlineLvl w:val="0"/>
        <w:rPr>
          <w:rFonts w:ascii="黑体" w:hAnsi="黑体" w:eastAsia="黑体" w:cs="黑体"/>
          <w:sz w:val="36"/>
          <w:szCs w:val="36"/>
        </w:rPr>
      </w:pPr>
      <w:bookmarkStart w:id="27" w:name="_Toc29581"/>
      <w:r>
        <w:rPr>
          <w:rFonts w:ascii="黑体" w:hAnsi="黑体" w:eastAsia="黑体" w:cs="黑体"/>
          <w:b/>
          <w:bCs/>
          <w:spacing w:val="3"/>
          <w:sz w:val="36"/>
          <w:szCs w:val="36"/>
        </w:rPr>
        <w:t>第三部分风险评估结论</w:t>
      </w:r>
      <w:bookmarkEnd w:id="27"/>
    </w:p>
    <w:p>
      <w:pPr>
        <w:rPr>
          <w:rFonts w:ascii="Arial"/>
          <w:sz w:val="21"/>
        </w:rPr>
      </w:pPr>
    </w:p>
    <w:p>
      <w:pPr>
        <w:rPr>
          <w:rFonts w:ascii="Arial"/>
          <w:sz w:val="21"/>
        </w:rPr>
      </w:pPr>
    </w:p>
    <w:p>
      <w:pPr>
        <w:rPr>
          <w:rFonts w:ascii="Arial"/>
          <w:sz w:val="21"/>
        </w:rPr>
      </w:pPr>
    </w:p>
    <w:p>
      <w:pPr>
        <w:spacing w:before="94" w:line="382" w:lineRule="auto"/>
        <w:ind w:left="451" w:firstLine="574"/>
        <w:jc w:val="both"/>
        <w:rPr>
          <w:rFonts w:ascii="仿宋" w:hAnsi="仿宋" w:eastAsia="仿宋" w:cs="仿宋"/>
          <w:sz w:val="29"/>
          <w:szCs w:val="29"/>
          <w:highlight w:val="yellow"/>
        </w:rPr>
      </w:pPr>
      <w:r>
        <w:rPr>
          <w:rFonts w:hint="eastAsia" w:ascii="仿宋" w:hAnsi="仿宋" w:eastAsia="仿宋" w:cs="仿宋"/>
          <w:spacing w:val="-1"/>
          <w:sz w:val="29"/>
          <w:szCs w:val="29"/>
          <w:lang w:val="en-US" w:eastAsia="zh-CN"/>
        </w:rPr>
        <w:t>《若干措施》</w:t>
      </w:r>
      <w:r>
        <w:rPr>
          <w:rFonts w:ascii="仿宋" w:hAnsi="仿宋" w:eastAsia="仿宋" w:cs="仿宋"/>
          <w:spacing w:val="-1"/>
          <w:sz w:val="29"/>
          <w:szCs w:val="29"/>
        </w:rPr>
        <w:t>的实施符合“六稳”和“六保”的要求</w:t>
      </w:r>
      <w:r>
        <w:rPr>
          <w:rFonts w:ascii="仿宋" w:hAnsi="仿宋" w:eastAsia="仿宋" w:cs="仿宋"/>
          <w:spacing w:val="-1"/>
          <w:sz w:val="29"/>
          <w:szCs w:val="29"/>
          <w:highlight w:val="none"/>
        </w:rPr>
        <w:t>，有利于</w:t>
      </w:r>
      <w:r>
        <w:rPr>
          <w:rFonts w:hint="eastAsia" w:ascii="仿宋" w:hAnsi="仿宋" w:eastAsia="仿宋" w:cs="仿宋"/>
          <w:spacing w:val="-1"/>
          <w:sz w:val="29"/>
          <w:szCs w:val="29"/>
          <w:highlight w:val="none"/>
          <w:lang w:val="en-US" w:eastAsia="zh-CN"/>
        </w:rPr>
        <w:t>推动和支持深圳市现代农业高质量发展</w:t>
      </w:r>
      <w:r>
        <w:rPr>
          <w:rFonts w:hint="eastAsia" w:ascii="仿宋" w:hAnsi="仿宋" w:eastAsia="仿宋" w:cs="仿宋"/>
          <w:spacing w:val="-1"/>
          <w:sz w:val="29"/>
          <w:szCs w:val="29"/>
          <w:highlight w:val="none"/>
          <w:lang w:eastAsia="zh-CN"/>
        </w:rPr>
        <w:t>，</w:t>
      </w:r>
      <w:r>
        <w:rPr>
          <w:rFonts w:ascii="仿宋" w:hAnsi="仿宋" w:eastAsia="仿宋" w:cs="仿宋"/>
          <w:spacing w:val="-9"/>
          <w:sz w:val="29"/>
          <w:szCs w:val="29"/>
          <w:highlight w:val="none"/>
        </w:rPr>
        <w:t>是</w:t>
      </w:r>
      <w:r>
        <w:rPr>
          <w:rFonts w:hint="eastAsia" w:ascii="仿宋" w:hAnsi="仿宋" w:eastAsia="仿宋" w:cs="仿宋"/>
          <w:spacing w:val="-9"/>
          <w:sz w:val="29"/>
          <w:szCs w:val="29"/>
          <w:highlight w:val="none"/>
        </w:rPr>
        <w:t>提升农业科技创新能级</w:t>
      </w:r>
      <w:r>
        <w:rPr>
          <w:rFonts w:hint="eastAsia" w:ascii="仿宋" w:hAnsi="仿宋" w:eastAsia="仿宋" w:cs="仿宋"/>
          <w:spacing w:val="-9"/>
          <w:sz w:val="29"/>
          <w:szCs w:val="29"/>
          <w:highlight w:val="none"/>
          <w:lang w:eastAsia="zh-CN"/>
        </w:rPr>
        <w:t>、提高现代农业发展质量、巩固民生供应全链保障、加强质量安全全程管理、强化产业资源要素支撑</w:t>
      </w:r>
      <w:r>
        <w:rPr>
          <w:rFonts w:ascii="仿宋" w:hAnsi="仿宋" w:eastAsia="仿宋" w:cs="仿宋"/>
          <w:spacing w:val="-9"/>
          <w:sz w:val="29"/>
          <w:szCs w:val="29"/>
          <w:highlight w:val="none"/>
        </w:rPr>
        <w:t>的</w:t>
      </w:r>
      <w:r>
        <w:rPr>
          <w:rFonts w:hint="eastAsia" w:ascii="仿宋" w:hAnsi="仿宋" w:eastAsia="仿宋" w:cs="仿宋"/>
          <w:spacing w:val="-9"/>
          <w:sz w:val="29"/>
          <w:szCs w:val="29"/>
          <w:highlight w:val="none"/>
          <w:lang w:val="en-US" w:eastAsia="zh-CN"/>
        </w:rPr>
        <w:t>惠企</w:t>
      </w:r>
      <w:r>
        <w:rPr>
          <w:rFonts w:ascii="仿宋" w:hAnsi="仿宋" w:eastAsia="仿宋" w:cs="仿宋"/>
          <w:spacing w:val="-9"/>
          <w:sz w:val="29"/>
          <w:szCs w:val="29"/>
          <w:highlight w:val="none"/>
        </w:rPr>
        <w:t>惠民之策</w:t>
      </w:r>
      <w:r>
        <w:rPr>
          <w:rFonts w:hint="eastAsia" w:ascii="仿宋" w:hAnsi="仿宋" w:eastAsia="仿宋" w:cs="仿宋"/>
          <w:spacing w:val="-9"/>
          <w:sz w:val="29"/>
          <w:szCs w:val="29"/>
          <w:highlight w:val="none"/>
          <w:lang w:eastAsia="zh-CN"/>
        </w:rPr>
        <w:t>。</w:t>
      </w:r>
      <w:r>
        <w:rPr>
          <w:rFonts w:hint="eastAsia" w:ascii="仿宋" w:hAnsi="仿宋" w:eastAsia="仿宋" w:cs="仿宋"/>
          <w:spacing w:val="-9"/>
          <w:sz w:val="29"/>
          <w:szCs w:val="29"/>
          <w:highlight w:val="none"/>
          <w:lang w:val="en-US" w:eastAsia="zh-CN"/>
        </w:rPr>
        <w:t>《若干措施》</w:t>
      </w:r>
      <w:r>
        <w:rPr>
          <w:rFonts w:ascii="仿宋" w:hAnsi="仿宋" w:eastAsia="仿宋" w:cs="仿宋"/>
          <w:spacing w:val="-2"/>
          <w:sz w:val="29"/>
          <w:szCs w:val="29"/>
          <w:highlight w:val="none"/>
        </w:rPr>
        <w:t>内容完整、科学、合理，</w:t>
      </w:r>
      <w:r>
        <w:rPr>
          <w:rFonts w:hint="eastAsia" w:ascii="仿宋" w:hAnsi="仿宋" w:eastAsia="仿宋" w:cs="仿宋"/>
          <w:spacing w:val="-2"/>
          <w:sz w:val="29"/>
          <w:szCs w:val="29"/>
          <w:highlight w:val="none"/>
          <w:lang w:val="en-US" w:eastAsia="zh-CN"/>
        </w:rPr>
        <w:t>各单位意见均已有效采纳吸收，</w:t>
      </w:r>
      <w:r>
        <w:rPr>
          <w:rFonts w:ascii="仿宋" w:hAnsi="仿宋" w:eastAsia="仿宋" w:cs="仿宋"/>
          <w:spacing w:val="-2"/>
          <w:sz w:val="29"/>
          <w:szCs w:val="29"/>
          <w:highlight w:val="none"/>
        </w:rPr>
        <w:t>虽然存在少许可能的实施风险，但</w:t>
      </w:r>
      <w:r>
        <w:rPr>
          <w:rFonts w:ascii="仿宋" w:hAnsi="仿宋" w:eastAsia="仿宋" w:cs="仿宋"/>
          <w:spacing w:val="-3"/>
          <w:sz w:val="29"/>
          <w:szCs w:val="29"/>
          <w:highlight w:val="none"/>
        </w:rPr>
        <w:t>这些风险不是</w:t>
      </w:r>
      <w:r>
        <w:rPr>
          <w:rFonts w:hint="eastAsia" w:ascii="仿宋" w:hAnsi="仿宋" w:eastAsia="仿宋" w:cs="仿宋"/>
          <w:spacing w:val="-3"/>
          <w:sz w:val="29"/>
          <w:szCs w:val="29"/>
          <w:highlight w:val="none"/>
          <w:lang w:eastAsia="zh-CN"/>
        </w:rPr>
        <w:t>《</w:t>
      </w:r>
      <w:r>
        <w:rPr>
          <w:rFonts w:hint="eastAsia" w:ascii="仿宋" w:hAnsi="仿宋" w:eastAsia="仿宋" w:cs="仿宋"/>
          <w:spacing w:val="-9"/>
          <w:sz w:val="29"/>
          <w:szCs w:val="29"/>
          <w:highlight w:val="none"/>
          <w:lang w:val="en-US" w:eastAsia="zh-CN"/>
        </w:rPr>
        <w:t>若干措施》</w:t>
      </w:r>
      <w:r>
        <w:rPr>
          <w:rFonts w:ascii="仿宋" w:hAnsi="仿宋" w:eastAsia="仿宋" w:cs="仿宋"/>
          <w:spacing w:val="-3"/>
          <w:sz w:val="29"/>
          <w:szCs w:val="29"/>
          <w:highlight w:val="none"/>
        </w:rPr>
        <w:t>所当然衍生的以及属于深圳所特有的，也不能认为存在制度缺陷，且通过出台配套文件、</w:t>
      </w:r>
      <w:r>
        <w:rPr>
          <w:rFonts w:ascii="仿宋" w:hAnsi="仿宋" w:eastAsia="仿宋" w:cs="仿宋"/>
          <w:spacing w:val="-10"/>
          <w:sz w:val="29"/>
          <w:szCs w:val="29"/>
          <w:highlight w:val="none"/>
        </w:rPr>
        <w:t>严格行政执法基本可以降低或者化解。因此</w:t>
      </w:r>
      <w:r>
        <w:rPr>
          <w:rFonts w:hint="eastAsia" w:ascii="仿宋" w:hAnsi="仿宋" w:eastAsia="仿宋" w:cs="仿宋"/>
          <w:spacing w:val="-10"/>
          <w:sz w:val="29"/>
          <w:szCs w:val="29"/>
          <w:highlight w:val="none"/>
          <w:lang w:eastAsia="zh-CN"/>
        </w:rPr>
        <w:t>，</w:t>
      </w:r>
      <w:r>
        <w:rPr>
          <w:rFonts w:hint="eastAsia" w:ascii="仿宋" w:hAnsi="仿宋" w:eastAsia="仿宋" w:cs="仿宋"/>
          <w:spacing w:val="-9"/>
          <w:sz w:val="29"/>
          <w:szCs w:val="29"/>
          <w:highlight w:val="none"/>
          <w:lang w:val="en-US" w:eastAsia="zh-CN"/>
        </w:rPr>
        <w:t>《若干措施》</w:t>
      </w:r>
      <w:r>
        <w:rPr>
          <w:rFonts w:ascii="仿宋" w:hAnsi="仿宋" w:eastAsia="仿宋" w:cs="仿宋"/>
          <w:spacing w:val="-2"/>
          <w:sz w:val="29"/>
          <w:szCs w:val="29"/>
          <w:highlight w:val="none"/>
        </w:rPr>
        <w:t>总体上满足必要性、合法性、协调性和</w:t>
      </w:r>
      <w:r>
        <w:rPr>
          <w:rFonts w:ascii="仿宋" w:hAnsi="仿宋" w:eastAsia="仿宋" w:cs="仿宋"/>
          <w:spacing w:val="-3"/>
          <w:sz w:val="29"/>
          <w:szCs w:val="29"/>
          <w:highlight w:val="none"/>
        </w:rPr>
        <w:t>可操作性等</w:t>
      </w:r>
      <w:r>
        <w:rPr>
          <w:rFonts w:ascii="仿宋" w:hAnsi="仿宋" w:eastAsia="仿宋" w:cs="仿宋"/>
          <w:spacing w:val="-6"/>
          <w:sz w:val="29"/>
          <w:szCs w:val="29"/>
          <w:highlight w:val="none"/>
        </w:rPr>
        <w:t>标准</w:t>
      </w:r>
      <w:r>
        <w:rPr>
          <w:rFonts w:hint="eastAsia" w:ascii="仿宋" w:hAnsi="仿宋" w:eastAsia="仿宋" w:cs="仿宋"/>
          <w:spacing w:val="-6"/>
          <w:sz w:val="29"/>
          <w:szCs w:val="29"/>
          <w:highlight w:val="none"/>
          <w:lang w:eastAsia="zh-CN"/>
        </w:rPr>
        <w:t>，评估结果为低风险</w:t>
      </w:r>
      <w:r>
        <w:rPr>
          <w:rFonts w:ascii="仿宋" w:hAnsi="仿宋" w:eastAsia="仿宋" w:cs="仿宋"/>
          <w:spacing w:val="-6"/>
          <w:sz w:val="29"/>
          <w:szCs w:val="29"/>
          <w:highlight w:val="none"/>
        </w:rPr>
        <w:t>。</w:t>
      </w:r>
    </w:p>
    <w:sectPr>
      <w:footerReference r:id="rId7" w:type="default"/>
      <w:pgSz w:w="12060" w:h="16930"/>
      <w:pgMar w:top="1439" w:right="1625" w:bottom="1326" w:left="1809" w:header="0" w:footer="114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81"/>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3934"/>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00"/>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XQu5HQ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dC7kdAgAAKw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61B673"/>
    <w:multiLevelType w:val="singleLevel"/>
    <w:tmpl w:val="E261B673"/>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kxNzE3YzlmOWU0ZDdkYTZkMjY5Y2E4MWE5ZThhZGYifQ=="/>
  </w:docVars>
  <w:rsids>
    <w:rsidRoot w:val="00000000"/>
    <w:rsid w:val="00E714CC"/>
    <w:rsid w:val="01190381"/>
    <w:rsid w:val="02184E42"/>
    <w:rsid w:val="035454B2"/>
    <w:rsid w:val="040D25E1"/>
    <w:rsid w:val="0E88608D"/>
    <w:rsid w:val="141F1A51"/>
    <w:rsid w:val="197364FF"/>
    <w:rsid w:val="21423181"/>
    <w:rsid w:val="38636172"/>
    <w:rsid w:val="394460F9"/>
    <w:rsid w:val="39B85740"/>
    <w:rsid w:val="50AF1123"/>
    <w:rsid w:val="56AC0C6C"/>
    <w:rsid w:val="57902E69"/>
    <w:rsid w:val="5D7873B0"/>
    <w:rsid w:val="5FB77DB0"/>
    <w:rsid w:val="7E54225E"/>
    <w:rsid w:val="BBAF5F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3">
    <w:name w:val="toc 3"/>
    <w:basedOn w:val="1"/>
    <w:next w:val="1"/>
    <w:qFormat/>
    <w:uiPriority w:val="0"/>
    <w:pPr>
      <w:ind w:left="840" w:leftChars="40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_Style 5"/>
    <w:qFormat/>
    <w:uiPriority w:val="0"/>
    <w:pPr>
      <w:widowControl w:val="0"/>
      <w:ind w:firstLine="200" w:firstLineChars="200"/>
      <w:jc w:val="both"/>
    </w:pPr>
    <w:rPr>
      <w:rFonts w:ascii="Calibri" w:hAnsi="Calibri" w:eastAsiaTheme="minorEastAsia" w:cstheme="minorBidi"/>
      <w:kern w:val="2"/>
      <w:sz w:val="24"/>
      <w:szCs w:val="24"/>
      <w:lang w:val="en-US" w:eastAsia="zh-CN" w:bidi="ar-SA"/>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10409</Words>
  <Characters>10645</Characters>
  <TotalTime>3</TotalTime>
  <ScaleCrop>false</ScaleCrop>
  <LinksUpToDate>false</LinksUpToDate>
  <CharactersWithSpaces>10729</CharactersWithSpaces>
  <Application>WPS Office_11.8.2.10458_F1E327BC-269C-435d-A152-05C5408002CA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2023-03-14T08:02:00Z</dcterms:created>
  <dc:creator>Kingsoft-PDF</dc:creator>
  <cp:lastModifiedBy>renxx11</cp:lastModifiedBy>
  <dcterms:modified xsi:type="dcterms:W3CDTF">2023-06-21T16:59:45Z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2023-03-13T16:02:58Z</vt:filetime>
  </property>
  <property fmtid="{D5CDD505-2E9C-101B-9397-08002B2CF9AE}" pid="4" name="UsrData">
    <vt:lpwstr>640ed8a00d38b700151b54bc</vt:lpwstr>
  </property>
  <property fmtid="{D5CDD505-2E9C-101B-9397-08002B2CF9AE}" pid="5" name="KSOProductBuildVer">
    <vt:lpwstr>2052-11.8.2.10458</vt:lpwstr>
  </property>
  <property fmtid="{D5CDD505-2E9C-101B-9397-08002B2CF9AE}" pid="6" name="ICV">
    <vt:lpwstr>97D0E27EE4FE4A36B2C4DAD4C6A6305E_13</vt:lpwstr>
  </property>
</Properties>
</file>