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CESI黑体-GB2312" w:hAnsi="CESI黑体-GB2312" w:eastAsia="CESI黑体-GB2312" w:cs="CESI黑体-GB2312"/>
          <w:color w:val="auto"/>
          <w:spacing w:val="-8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p>
      <w:pPr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  <w:t>重大活动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lang w:eastAsia="zh-CN"/>
        </w:rPr>
        <w:t>供餐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  <w:t>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  <w:t>评估</w:t>
      </w:r>
    </w:p>
    <w:p>
      <w:pPr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 w:val="0"/>
          <w:color w:va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4"/>
          <w:szCs w:val="44"/>
        </w:rPr>
        <w:t>申报表</w:t>
      </w:r>
    </w:p>
    <w:p>
      <w:pPr>
        <w:snapToGrid w:val="0"/>
        <w:spacing w:line="240" w:lineRule="atLeast"/>
        <w:rPr>
          <w:rFonts w:hint="eastAsia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29"/>
        <w:gridCol w:w="1924"/>
        <w:gridCol w:w="197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0" w:hanging="1117" w:hangingChars="399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0" w:hanging="1117" w:hangingChars="399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地    址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食品安全量化等级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（固话、手机）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供餐服务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在自有场地提供供餐服务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在活动举办场地提供供餐服务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提供热食类成品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提供冷食类成品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糕点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类成品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现场加工制作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提供食品摆盘服务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提供盒饭配送服务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leftChars="0" w:hanging="1120" w:hangingChars="400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提交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资料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食品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经营许可证照片作为本表附件，按照“单位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+现场评估命名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.申报单位认为需要报送的材料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hangingChars="15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760" w:firstLineChars="1700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单位名称（盖章）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120" w:firstLineChars="400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注意事项：1.申报单位须取得餐饮服务食品安全量化等级A级，未达到A级的不予受理；2.拟申报单位盖章确认后，由组织方统一安排现场评估工作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.现场评审时，申请单位请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eastAsia="zh-CN"/>
        </w:rPr>
        <w:t>提前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</w:rPr>
        <w:t>准备本单位食品安全管理档案（参照全市统一标准）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24"/>
          <w:szCs w:val="24"/>
          <w:lang w:eastAsia="zh-CN"/>
        </w:rPr>
        <w:t>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BEC8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panse</cp:lastModifiedBy>
  <dcterms:modified xsi:type="dcterms:W3CDTF">2024-03-01T14:50:57Z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