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w:t>
      </w:r>
      <w:bookmarkStart w:id="0" w:name="_GoBack"/>
      <w:bookmarkEnd w:id="0"/>
      <w:r>
        <w:rPr>
          <w:rFonts w:hint="eastAsia" w:ascii="黑体" w:hAnsi="黑体" w:eastAsia="黑体" w:cs="Arial"/>
          <w:color w:val="auto"/>
          <w:kern w:val="0"/>
          <w:szCs w:val="32"/>
        </w:rPr>
        <w:t>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一、多西环素</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多西环素（强力霉素）是一种四环素类药物，一般用于治疗衣原体支原体感染。</w:t>
      </w:r>
      <w:r>
        <w:rPr>
          <w:rFonts w:hint="eastAsia" w:ascii="仿宋_GB2312" w:hAnsi="仿宋" w:eastAsia="仿宋_GB2312" w:cs="仿宋"/>
          <w:color w:val="auto"/>
          <w:kern w:val="2"/>
          <w:sz w:val="32"/>
          <w:szCs w:val="32"/>
          <w:highlight w:val="none"/>
          <w:lang w:val="en-US" w:eastAsia="zh-CN" w:bidi="ar-SA"/>
        </w:rPr>
        <w:t>《食品安全国家标准 食品中41种兽药最大残留限量》（GB 31650.1-2022）中规定，</w:t>
      </w:r>
      <w:r>
        <w:rPr>
          <w:rFonts w:hint="eastAsia" w:ascii="仿宋_GB2312" w:hAnsi="仿宋" w:cs="仿宋"/>
          <w:color w:val="auto"/>
          <w:kern w:val="2"/>
          <w:sz w:val="32"/>
          <w:szCs w:val="32"/>
          <w:highlight w:val="none"/>
          <w:lang w:val="en-US" w:eastAsia="zh-CN" w:bidi="ar-SA"/>
        </w:rPr>
        <w:t>家禽蛋中</w:t>
      </w:r>
      <w:r>
        <w:rPr>
          <w:rFonts w:hint="eastAsia" w:ascii="仿宋_GB2312" w:hAnsi="仿宋" w:eastAsia="仿宋_GB2312" w:cs="仿宋"/>
          <w:color w:val="auto"/>
          <w:kern w:val="2"/>
          <w:sz w:val="32"/>
          <w:szCs w:val="32"/>
          <w:highlight w:val="none"/>
          <w:lang w:val="en-US" w:eastAsia="zh-CN" w:bidi="ar-SA"/>
        </w:rPr>
        <w:t>多西环素最</w:t>
      </w:r>
      <w:r>
        <w:rPr>
          <w:rFonts w:hint="eastAsia" w:ascii="仿宋_GB2312" w:hAnsi="仿宋" w:cs="仿宋"/>
          <w:color w:val="auto"/>
          <w:kern w:val="2"/>
          <w:sz w:val="32"/>
          <w:szCs w:val="32"/>
          <w:highlight w:val="none"/>
          <w:lang w:val="en-US" w:eastAsia="zh-CN" w:bidi="ar-SA"/>
        </w:rPr>
        <w:t>大</w:t>
      </w:r>
      <w:r>
        <w:rPr>
          <w:rFonts w:hint="eastAsia" w:ascii="仿宋_GB2312" w:hAnsi="仿宋" w:eastAsia="仿宋_GB2312" w:cs="仿宋"/>
          <w:color w:val="auto"/>
          <w:kern w:val="2"/>
          <w:sz w:val="32"/>
          <w:szCs w:val="32"/>
          <w:highlight w:val="none"/>
          <w:lang w:val="en-US" w:eastAsia="zh-CN" w:bidi="ar-SA"/>
        </w:rPr>
        <w:t>残留限量为10μg/kg。</w:t>
      </w:r>
      <w:r>
        <w:rPr>
          <w:rFonts w:hint="eastAsia" w:ascii="仿宋_GB2312" w:cs="Times New Roman"/>
          <w:sz w:val="32"/>
          <w:szCs w:val="32"/>
          <w:lang w:val="en-US" w:eastAsia="zh-CN"/>
        </w:rPr>
        <w:t>家禽</w:t>
      </w:r>
      <w:r>
        <w:rPr>
          <w:rFonts w:hint="eastAsia" w:ascii="仿宋_GB2312" w:eastAsia="仿宋_GB2312" w:cs="Times New Roman"/>
          <w:sz w:val="32"/>
          <w:szCs w:val="32"/>
        </w:rPr>
        <w:t>蛋中</w:t>
      </w:r>
      <w:r>
        <w:rPr>
          <w:rFonts w:hint="eastAsia" w:ascii="仿宋_GB2312" w:cs="Times New Roman"/>
          <w:sz w:val="32"/>
          <w:szCs w:val="32"/>
          <w:lang w:val="en-US" w:eastAsia="zh-CN"/>
        </w:rPr>
        <w:t>多西环素超标</w:t>
      </w:r>
      <w:r>
        <w:rPr>
          <w:rFonts w:hint="eastAsia" w:ascii="仿宋_GB2312" w:eastAsia="仿宋_GB2312" w:cs="Times New Roman"/>
          <w:sz w:val="32"/>
          <w:szCs w:val="32"/>
        </w:rPr>
        <w:t>的原因，可能是用药治疗蛋鸡疾病导致药物在其体内残留，进而传递至鸡蛋中。</w:t>
      </w:r>
      <w:r>
        <w:rPr>
          <w:rFonts w:hint="eastAsia" w:ascii="仿宋_GB2312" w:hAnsi="仿宋" w:eastAsia="仿宋_GB2312" w:cs="仿宋"/>
          <w:color w:val="auto"/>
          <w:kern w:val="2"/>
          <w:sz w:val="32"/>
          <w:szCs w:val="32"/>
          <w:highlight w:val="none"/>
        </w:rPr>
        <w:t>长期食用多西环素（强力霉素）残留超标的食品，可使病原体产生耐药性，对人体健康有一定影响。</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二、克百威</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克百威是一种具有内吸、触杀和胃毒作用的氨基甲酸酯类杀虫剂。《食品安全国家标准 食品中农药最大残留限量》（GB 2763-2021）中规定，瓜类蔬菜中克百威最大残留限量值为0.02 mg/kg。克百威不易降解，容易造成环境污染。少量的克百威农药残留不会引起人体急性中毒，但长期食用克百威超标的食品，会危害人体健康。</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三</w:t>
      </w:r>
      <w:r>
        <w:rPr>
          <w:rFonts w:hint="eastAsia" w:ascii="黑体" w:hAnsi="黑体" w:eastAsia="黑体" w:cs="黑体"/>
          <w:b w:val="0"/>
          <w:bCs/>
          <w:color w:val="auto"/>
          <w:szCs w:val="32"/>
          <w:lang w:val="zh-CN" w:eastAsia="zh-CN"/>
        </w:rPr>
        <w:t>、吡虫啉</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吡虫啉是一种内吸性杀虫剂，可层间传导，具有触杀和胃毒作用。</w:t>
      </w:r>
      <w:r>
        <w:rPr>
          <w:rFonts w:hint="eastAsia" w:ascii="仿宋_GB2312" w:hAnsi="仿宋" w:eastAsia="仿宋_GB2312" w:cs="仿宋"/>
          <w:color w:val="auto"/>
          <w:kern w:val="2"/>
          <w:sz w:val="32"/>
          <w:szCs w:val="32"/>
          <w:highlight w:val="none"/>
          <w:lang w:val="zh-CN" w:eastAsia="zh-CN"/>
        </w:rPr>
        <w:t>《食品安全国家标准 食品中农药最大残留限量》（GB 2763-20</w:t>
      </w:r>
      <w:r>
        <w:rPr>
          <w:rFonts w:hint="eastAsia" w:ascii="仿宋_GB2312" w:hAnsi="仿宋" w:eastAsia="仿宋_GB2312" w:cs="仿宋"/>
          <w:color w:val="auto"/>
          <w:kern w:val="2"/>
          <w:sz w:val="32"/>
          <w:szCs w:val="32"/>
          <w:highlight w:val="none"/>
          <w:lang w:val="en-US" w:eastAsia="zh-CN"/>
        </w:rPr>
        <w:t>21</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香蕉中吡虫啉最大</w:t>
      </w:r>
      <w:r>
        <w:rPr>
          <w:rFonts w:hint="eastAsia" w:ascii="仿宋_GB2312" w:hAnsi="仿宋" w:eastAsia="仿宋_GB2312" w:cs="仿宋"/>
          <w:color w:val="auto"/>
          <w:kern w:val="2"/>
          <w:sz w:val="32"/>
          <w:szCs w:val="32"/>
          <w:highlight w:val="none"/>
          <w:lang w:val="zh-CN" w:eastAsia="zh-CN"/>
        </w:rPr>
        <w:t>残留限量</w:t>
      </w:r>
      <w:r>
        <w:rPr>
          <w:rFonts w:hint="eastAsia" w:ascii="仿宋_GB2312" w:hAnsi="仿宋" w:eastAsia="仿宋_GB2312" w:cs="仿宋"/>
          <w:color w:val="auto"/>
          <w:kern w:val="2"/>
          <w:sz w:val="32"/>
          <w:szCs w:val="32"/>
          <w:highlight w:val="none"/>
          <w:lang w:val="en-US" w:eastAsia="zh-CN"/>
        </w:rPr>
        <w:t>值为0.05</w:t>
      </w:r>
      <w:r>
        <w:rPr>
          <w:rFonts w:hint="eastAsia" w:ascii="仿宋_GB2312" w:hAnsi="仿宋" w:eastAsia="仿宋_GB2312" w:cs="仿宋"/>
          <w:color w:val="auto"/>
          <w:kern w:val="2"/>
          <w:sz w:val="32"/>
          <w:szCs w:val="32"/>
          <w:highlight w:val="none"/>
          <w:lang w:val="zh-CN" w:eastAsia="zh-CN"/>
        </w:rPr>
        <w:t>mg/kg。</w:t>
      </w:r>
      <w:r>
        <w:rPr>
          <w:rFonts w:hint="eastAsia" w:ascii="仿宋_GB2312" w:hAnsi="仿宋" w:eastAsia="仿宋_GB2312" w:cs="仿宋"/>
          <w:color w:val="auto"/>
          <w:kern w:val="2"/>
          <w:sz w:val="32"/>
          <w:szCs w:val="32"/>
          <w:highlight w:val="none"/>
          <w:lang w:val="en-US" w:eastAsia="zh-CN"/>
        </w:rPr>
        <w:t>食用吡虫啉超标的食品可能会导致恶心、呕吐、头痛、乏力、心跳过速等症状。</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、水胺硫磷</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default" w:ascii="仿宋_GB2312" w:hAnsi="仿宋" w:eastAsia="仿宋_GB2312" w:cs="仿宋"/>
          <w:color w:val="auto"/>
          <w:kern w:val="2"/>
          <w:sz w:val="32"/>
          <w:szCs w:val="32"/>
          <w:highlight w:val="none"/>
          <w:lang w:val="en-US"/>
        </w:rPr>
      </w:pPr>
      <w:r>
        <w:rPr>
          <w:rFonts w:hint="default" w:ascii="仿宋_GB2312" w:hAnsi="仿宋" w:eastAsia="仿宋_GB2312" w:cs="仿宋"/>
          <w:color w:val="auto"/>
          <w:kern w:val="2"/>
          <w:sz w:val="32"/>
          <w:szCs w:val="32"/>
          <w:highlight w:val="none"/>
          <w:lang w:val="en-US"/>
        </w:rPr>
        <w:t>水胺硫磷为有机磷杀虫剂，兼具胃毒和杀卵作用，主要用于防治果树、水稻和棉花虫害。《食品安全国家标准</w:t>
      </w:r>
      <w:r>
        <w:rPr>
          <w:rFonts w:hint="default" w:ascii="仿宋_GB2312" w:hAnsi="仿宋" w:eastAsia="仿宋_GB2312" w:cs="仿宋"/>
          <w:color w:val="auto"/>
          <w:kern w:val="2"/>
          <w:sz w:val="32"/>
          <w:szCs w:val="32"/>
          <w:highlight w:val="none"/>
        </w:rPr>
        <w:t xml:space="preserve"> </w:t>
      </w:r>
      <w:r>
        <w:rPr>
          <w:rFonts w:hint="default" w:ascii="仿宋_GB2312" w:hAnsi="仿宋" w:eastAsia="仿宋_GB2312" w:cs="仿宋"/>
          <w:color w:val="auto"/>
          <w:kern w:val="2"/>
          <w:sz w:val="32"/>
          <w:szCs w:val="32"/>
          <w:highlight w:val="none"/>
          <w:lang w:val="en-US"/>
        </w:rPr>
        <w:t>食品中农药最大残留限量》（GB 2763-20</w:t>
      </w:r>
      <w:r>
        <w:rPr>
          <w:rFonts w:hint="default" w:ascii="仿宋_GB2312" w:hAnsi="仿宋" w:eastAsia="仿宋_GB2312" w:cs="仿宋"/>
          <w:color w:val="auto"/>
          <w:kern w:val="2"/>
          <w:sz w:val="32"/>
          <w:szCs w:val="32"/>
          <w:highlight w:val="none"/>
          <w:lang w:val="en-US" w:eastAsia="zh-CN"/>
        </w:rPr>
        <w:t>21</w:t>
      </w:r>
      <w:r>
        <w:rPr>
          <w:rFonts w:hint="default" w:ascii="仿宋_GB2312" w:hAnsi="仿宋" w:eastAsia="仿宋_GB2312" w:cs="仿宋"/>
          <w:color w:val="auto"/>
          <w:kern w:val="2"/>
          <w:sz w:val="32"/>
          <w:szCs w:val="32"/>
          <w:highlight w:val="none"/>
          <w:lang w:val="en-US"/>
        </w:rPr>
        <w:t>）中规定，</w:t>
      </w:r>
      <w:r>
        <w:rPr>
          <w:rFonts w:hint="eastAsia" w:ascii="仿宋_GB2312" w:hAnsi="仿宋" w:eastAsia="仿宋_GB2312" w:cs="仿宋"/>
          <w:color w:val="auto"/>
          <w:kern w:val="2"/>
          <w:sz w:val="32"/>
          <w:szCs w:val="32"/>
          <w:highlight w:val="none"/>
          <w:lang w:val="en-US" w:eastAsia="zh-CN"/>
        </w:rPr>
        <w:t>豆类蔬菜中</w:t>
      </w:r>
      <w:r>
        <w:rPr>
          <w:rFonts w:hint="default" w:ascii="仿宋_GB2312" w:hAnsi="仿宋" w:eastAsia="仿宋_GB2312" w:cs="仿宋"/>
          <w:color w:val="auto"/>
          <w:kern w:val="2"/>
          <w:sz w:val="32"/>
          <w:szCs w:val="32"/>
          <w:highlight w:val="none"/>
          <w:lang w:val="en-US"/>
        </w:rPr>
        <w:t>水胺硫磷</w:t>
      </w:r>
      <w:r>
        <w:rPr>
          <w:rFonts w:hint="default" w:ascii="仿宋_GB2312" w:hAnsi="仿宋" w:eastAsia="仿宋_GB2312" w:cs="仿宋"/>
          <w:color w:val="auto"/>
          <w:kern w:val="2"/>
          <w:sz w:val="32"/>
          <w:szCs w:val="32"/>
          <w:highlight w:val="none"/>
          <w:lang w:val="en-US" w:eastAsia="zh-CN"/>
        </w:rPr>
        <w:t>最大残留限量值为</w:t>
      </w:r>
      <w:r>
        <w:rPr>
          <w:rFonts w:hint="default" w:ascii="仿宋_GB2312" w:hAnsi="仿宋" w:eastAsia="仿宋_GB2312" w:cs="仿宋"/>
          <w:color w:val="auto"/>
          <w:kern w:val="2"/>
          <w:sz w:val="32"/>
          <w:szCs w:val="32"/>
          <w:highlight w:val="none"/>
          <w:lang w:val="en-US"/>
        </w:rPr>
        <w:t>0.0</w:t>
      </w:r>
      <w:r>
        <w:rPr>
          <w:rFonts w:hint="eastAsia" w:ascii="仿宋_GB2312" w:hAnsi="仿宋" w:eastAsia="仿宋_GB2312" w:cs="仿宋"/>
          <w:color w:val="auto"/>
          <w:kern w:val="2"/>
          <w:sz w:val="32"/>
          <w:szCs w:val="32"/>
          <w:highlight w:val="none"/>
          <w:lang w:val="en-US" w:eastAsia="zh-CN"/>
        </w:rPr>
        <w:t xml:space="preserve">5 </w:t>
      </w:r>
      <w:r>
        <w:rPr>
          <w:rFonts w:hint="default" w:ascii="仿宋_GB2312" w:hAnsi="仿宋" w:eastAsia="仿宋_GB2312" w:cs="仿宋"/>
          <w:color w:val="auto"/>
          <w:kern w:val="2"/>
          <w:sz w:val="32"/>
          <w:szCs w:val="32"/>
          <w:highlight w:val="none"/>
          <w:lang w:val="en-US"/>
        </w:rPr>
        <w:t>mg/kg。水胺硫磷属于高毒农药，主要通过食道、皮肤和呼吸道引起中毒。少量的农药残留不会引起人体急性中毒，但长期食用农药残留超标的食品，对人体健康有一定影响。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五、乙酰甲胺磷</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lang w:val="en-US" w:eastAsia="zh-CN"/>
        </w:rPr>
        <w:t>乙酰甲胺磷是一种内吸性的有机磷类杀虫剂。</w:t>
      </w:r>
      <w:r>
        <w:rPr>
          <w:rFonts w:hint="eastAsia" w:ascii="仿宋_GB2312" w:hAnsi="仿宋" w:eastAsia="仿宋_GB2312" w:cs="仿宋"/>
          <w:color w:val="auto"/>
          <w:kern w:val="2"/>
          <w:sz w:val="32"/>
          <w:szCs w:val="32"/>
          <w:highlight w:val="none"/>
          <w:lang w:val="zh-CN" w:eastAsia="zh-CN"/>
        </w:rPr>
        <w:t>《食品安全国家标准 食品中农药最大残留限量》（GB 2763-20</w:t>
      </w:r>
      <w:r>
        <w:rPr>
          <w:rFonts w:hint="eastAsia" w:ascii="仿宋_GB2312" w:hAnsi="仿宋" w:eastAsia="仿宋_GB2312" w:cs="仿宋"/>
          <w:color w:val="auto"/>
          <w:kern w:val="2"/>
          <w:sz w:val="32"/>
          <w:szCs w:val="32"/>
          <w:highlight w:val="none"/>
          <w:lang w:val="en-US" w:eastAsia="zh-CN"/>
        </w:rPr>
        <w:t>21</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瓜类蔬菜、瓜果类水果</w:t>
      </w:r>
      <w:r>
        <w:rPr>
          <w:rFonts w:hint="eastAsia" w:ascii="仿宋_GB2312" w:hAnsi="仿宋" w:eastAsia="仿宋_GB2312" w:cs="仿宋"/>
          <w:color w:val="auto"/>
          <w:kern w:val="2"/>
          <w:sz w:val="32"/>
          <w:szCs w:val="32"/>
          <w:highlight w:val="none"/>
          <w:lang w:val="zh-CN" w:eastAsia="zh-CN"/>
        </w:rPr>
        <w:t>中</w:t>
      </w:r>
      <w:r>
        <w:rPr>
          <w:rFonts w:hint="eastAsia" w:ascii="仿宋_GB2312" w:hAnsi="仿宋" w:eastAsia="仿宋_GB2312" w:cs="仿宋"/>
          <w:color w:val="auto"/>
          <w:kern w:val="2"/>
          <w:sz w:val="32"/>
          <w:szCs w:val="32"/>
          <w:highlight w:val="none"/>
          <w:lang w:val="en-US" w:eastAsia="zh-CN"/>
        </w:rPr>
        <w:t>乙酰甲胺磷最大</w:t>
      </w:r>
      <w:r>
        <w:rPr>
          <w:rFonts w:hint="eastAsia" w:ascii="仿宋_GB2312" w:hAnsi="仿宋" w:eastAsia="仿宋_GB2312" w:cs="仿宋"/>
          <w:color w:val="auto"/>
          <w:kern w:val="2"/>
          <w:sz w:val="32"/>
          <w:szCs w:val="32"/>
          <w:highlight w:val="none"/>
          <w:lang w:val="zh-CN" w:eastAsia="zh-CN"/>
        </w:rPr>
        <w:t>残留限量值</w:t>
      </w:r>
      <w:r>
        <w:rPr>
          <w:rFonts w:hint="eastAsia" w:ascii="仿宋_GB2312" w:hAnsi="仿宋" w:eastAsia="仿宋_GB2312" w:cs="仿宋"/>
          <w:color w:val="auto"/>
          <w:kern w:val="2"/>
          <w:sz w:val="32"/>
          <w:szCs w:val="32"/>
          <w:highlight w:val="none"/>
          <w:lang w:val="en-US" w:eastAsia="zh-CN"/>
        </w:rPr>
        <w:t>均为</w:t>
      </w:r>
      <w:r>
        <w:rPr>
          <w:rFonts w:hint="eastAsia" w:ascii="仿宋_GB2312" w:hAnsi="仿宋" w:eastAsia="仿宋_GB2312" w:cs="仿宋"/>
          <w:color w:val="auto"/>
          <w:kern w:val="2"/>
          <w:sz w:val="32"/>
          <w:szCs w:val="32"/>
          <w:highlight w:val="none"/>
          <w:lang w:val="zh-CN" w:eastAsia="zh-CN"/>
        </w:rPr>
        <w:t>0.02mg/kg。少量的农药残留不会引起人体急性中毒，但长期食用农药残留超标的食品，对人体健康有一定影响。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六、灭蝇胺</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rPr>
      </w:pPr>
      <w:r>
        <w:rPr>
          <w:rFonts w:hint="eastAsia" w:ascii="仿宋_GB2312" w:hAnsi="仿宋" w:eastAsia="仿宋_GB2312" w:cs="仿宋"/>
          <w:color w:val="auto"/>
          <w:kern w:val="2"/>
          <w:sz w:val="32"/>
          <w:szCs w:val="32"/>
          <w:highlight w:val="none"/>
          <w:lang w:val="en-US"/>
        </w:rPr>
        <w:t>灭蝇胺又名环丙氨嗪，为一种新型高效、低毒、含氮杂环类杀虫剂，是目前防治双翅目昆虫病虫害效果较好的生态农药。《食品安全国家标准</w:t>
      </w:r>
      <w:r>
        <w:rPr>
          <w:rFonts w:hint="eastAsia" w:ascii="仿宋_GB2312" w:hAnsi="仿宋" w:eastAsia="仿宋_GB2312"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rPr>
        <w:t>食品中农药最大残留限量》（GB</w:t>
      </w:r>
      <w:r>
        <w:rPr>
          <w:rFonts w:hint="eastAsia" w:ascii="仿宋_GB2312" w:hAnsi="仿宋" w:eastAsia="仿宋_GB2312"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rPr>
        <w:t>2763</w:t>
      </w:r>
      <w:r>
        <w:rPr>
          <w:rFonts w:hint="eastAsia" w:ascii="仿宋_GB2312" w:hAnsi="仿宋" w:eastAsia="仿宋_GB2312" w:cs="仿宋"/>
          <w:color w:val="auto"/>
          <w:kern w:val="2"/>
          <w:sz w:val="32"/>
          <w:szCs w:val="32"/>
          <w:highlight w:val="none"/>
          <w:lang w:val="en-US" w:eastAsia="zh-CN"/>
        </w:rPr>
        <w:t>-2021</w:t>
      </w:r>
      <w:r>
        <w:rPr>
          <w:rFonts w:hint="eastAsia" w:ascii="仿宋_GB2312" w:hAnsi="仿宋" w:eastAsia="仿宋_GB2312" w:cs="仿宋"/>
          <w:color w:val="auto"/>
          <w:kern w:val="2"/>
          <w:sz w:val="32"/>
          <w:szCs w:val="32"/>
          <w:highlight w:val="none"/>
          <w:lang w:val="en-US"/>
        </w:rPr>
        <w:t>）中规定，</w:t>
      </w:r>
      <w:r>
        <w:rPr>
          <w:rFonts w:hint="eastAsia" w:ascii="仿宋_GB2312" w:hAnsi="仿宋" w:eastAsia="仿宋_GB2312" w:cs="仿宋"/>
          <w:color w:val="auto"/>
          <w:kern w:val="2"/>
          <w:sz w:val="32"/>
          <w:szCs w:val="32"/>
          <w:highlight w:val="none"/>
          <w:lang w:val="en-US" w:eastAsia="zh-CN"/>
        </w:rPr>
        <w:t>豇豆中灭蝇胺最大残留限量值为0.5</w:t>
      </w:r>
      <w:r>
        <w:rPr>
          <w:rFonts w:hint="eastAsia" w:ascii="仿宋_GB2312" w:hAnsi="仿宋" w:eastAsia="仿宋_GB2312" w:cs="仿宋"/>
          <w:color w:val="auto"/>
          <w:kern w:val="2"/>
          <w:sz w:val="32"/>
          <w:szCs w:val="32"/>
          <w:highlight w:val="none"/>
        </w:rPr>
        <w:t>mg/kg</w:t>
      </w:r>
      <w:r>
        <w:rPr>
          <w:rFonts w:hint="eastAsia" w:ascii="仿宋_GB2312" w:hAnsi="仿宋" w:eastAsia="仿宋_GB2312" w:cs="仿宋"/>
          <w:color w:val="auto"/>
          <w:kern w:val="2"/>
          <w:sz w:val="32"/>
          <w:szCs w:val="32"/>
          <w:highlight w:val="none"/>
          <w:lang w:val="en-US"/>
        </w:rPr>
        <w:t>。少量的灭蝇胺农药残留不会引起人体急性中毒，但长期食用灭蝇胺超标的食品，对人体健康有一定影响。</w:t>
      </w:r>
      <w:r>
        <w:rPr>
          <w:rFonts w:hint="eastAsia" w:ascii="仿宋_GB2312" w:hAnsi="仿宋" w:eastAsia="仿宋_GB2312" w:cs="仿宋"/>
          <w:color w:val="auto"/>
          <w:kern w:val="2"/>
          <w:sz w:val="32"/>
          <w:szCs w:val="32"/>
          <w:highlight w:val="none"/>
        </w:rPr>
        <w:t>豇豆中灭蝇胺残留量超标的原因，可能是为保证豇豆收成和良好卖相，加大用药量或未遵守采摘间隔期规定，致使上市销售的产品中残留量超标。</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w:t>
      </w:r>
      <w:r>
        <w:rPr>
          <w:rFonts w:hint="eastAsia" w:ascii="黑体" w:hAnsi="黑体" w:eastAsia="黑体" w:cs="黑体"/>
          <w:b w:val="0"/>
          <w:bCs/>
          <w:color w:val="auto"/>
          <w:szCs w:val="32"/>
          <w:lang w:val="en-US"/>
        </w:rPr>
        <w:t>呋喃唑酮代谢</w:t>
      </w:r>
      <w:r>
        <w:rPr>
          <w:rFonts w:hint="eastAsia" w:ascii="黑体" w:hAnsi="黑体" w:eastAsia="黑体" w:cs="黑体"/>
          <w:b w:val="0"/>
          <w:bCs/>
          <w:color w:val="auto"/>
          <w:szCs w:val="32"/>
          <w:lang w:val="en-US" w:eastAsia="zh-CN"/>
        </w:rPr>
        <w:t>物</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rPr>
      </w:pP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en-US"/>
        </w:rPr>
        <w:t>氯氟氰菊酯和高效氯氟氰菊酯</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zh-CN" w:eastAsia="zh-CN"/>
        </w:rPr>
        <w:t>氯氟氰菊酯和高效氯氟氰菊酯是一种具有触杀和胃毒作用的拟除虫菊酯类农药。《食品安全国家标准 食品中农药最大残留限量》（GB 2763-2021）中规定，根茎类和薯类蔬菜（马铃薯除外）中氯氟氰菊酯和高效氯氟氰菊酯残留限量值为0.01mg/kg。氯氟氰菊酯和高效氯氟氰菊酯对皮肤有刺激作用，接触量大时会引起头痛、头昏、恶心、呕吐、双手颤抖等症状。</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九、噻虫胺</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噻虫胺是一种烟碱类杀虫剂，具有触杀、胃毒作用，具有根内吸活性和层间传导性。《食品安全国家标准 食品中农药最大残留限量》（GB 2763-2021）中规定，根茎类蔬菜中噻虫胺最大残留限量值为0.2mg/kg；豆类蔬菜中噻虫胺最大残留限量值为0.01mg/kg；芒果中噻虫胺最大残留限量值为0.04mg/kg。长期食用噻虫胺超标的食品可能会引起恶心、呕吐、头痛、乏力、躁动、抽搐等症状。蔬菜</w:t>
      </w:r>
      <w:r>
        <w:rPr>
          <w:rFonts w:hint="eastAsia" w:ascii="仿宋_GB2312" w:hAnsi="仿宋" w:eastAsia="仿宋_GB2312" w:cs="仿宋"/>
          <w:color w:val="auto"/>
          <w:kern w:val="2"/>
          <w:sz w:val="32"/>
          <w:szCs w:val="32"/>
          <w:highlight w:val="none"/>
        </w:rPr>
        <w:t>中噻虫胺残留量超标的原因，可能是为快速控制虫害，加大用药量或未遵守采摘间隔期规定，致使上市销售的产品中残留量超标。</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十、噻虫嗪</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噻虫嗪是具有触杀、胃毒和内吸作用的杀虫剂。《食品安全国家标准 食品中农药最大残留限量》（GB 2763-2021）中规定，荚可食豆类蔬菜（菜豆除外）中噻虫嗪最大残留限量值为0.3mg/kg；火龙果中噻虫嗪最大残留限量值为0.2mg/kg。食用食品一般不会导致噻虫嗪的急性中毒，但长期食用噻虫嗪超标的食品，对人体健康也有一定影响</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十一、五氯酚酸钠</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五氯酚酸钠属于有机氯农药，是氯代烃类杀虫剂和杀真菌剂。</w:t>
      </w:r>
      <w:r>
        <w:rPr>
          <w:rFonts w:hint="default" w:ascii="仿宋_GB2312" w:hAnsi="仿宋" w:eastAsia="仿宋_GB2312" w:cs="仿宋"/>
          <w:color w:val="auto"/>
          <w:kern w:val="2"/>
          <w:sz w:val="32"/>
          <w:szCs w:val="32"/>
          <w:highlight w:val="none"/>
          <w:lang w:val="en-US" w:eastAsia="zh-CN"/>
        </w:rPr>
        <w:t>《食品动物中禁止使用的药品及其他化合物清单》（农业农村部公告 第250号）</w:t>
      </w:r>
      <w:r>
        <w:rPr>
          <w:rFonts w:hint="eastAsia" w:ascii="仿宋_GB2312" w:hAnsi="仿宋" w:eastAsia="仿宋_GB2312" w:cs="仿宋"/>
          <w:color w:val="auto"/>
          <w:kern w:val="2"/>
          <w:sz w:val="32"/>
          <w:szCs w:val="32"/>
          <w:highlight w:val="none"/>
          <w:lang w:val="en-US" w:eastAsia="zh-CN"/>
        </w:rPr>
        <w:t>中规定，五氯酚酸钠为食品动物中禁止使用的药物。五氯酚酸钠能抑制生物代谢过程中氧化磷酸化作用, 会对人体造成损害。</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十二</w:t>
      </w:r>
      <w:r>
        <w:rPr>
          <w:rFonts w:hint="eastAsia" w:ascii="黑体" w:hAnsi="黑体" w:eastAsia="黑体" w:cs="黑体"/>
          <w:b w:val="0"/>
          <w:bCs/>
          <w:color w:val="auto"/>
          <w:szCs w:val="32"/>
          <w:lang w:val="zh-CN" w:eastAsia="zh-CN"/>
        </w:rPr>
        <w:t>、磺胺类（总量）</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zh-CN" w:eastAsia="zh-CN"/>
        </w:rPr>
        <w:t>磺胺类药物是一种人工合成的抗菌药，具有抗菌谱较广、性质稳定、使用简便等特性，对大多数革兰氏阳性菌和阴性菌都有较强抑制作用，广泛用于防治鸡球虫病。《食品安全国家标准 食品中兽药最大残留限量》（GB 31650-2019）规定，</w:t>
      </w:r>
      <w:r>
        <w:rPr>
          <w:rFonts w:hint="eastAsia" w:ascii="仿宋_GB2312" w:hAnsi="仿宋" w:eastAsia="仿宋_GB2312" w:cs="仿宋"/>
          <w:color w:val="auto"/>
          <w:kern w:val="2"/>
          <w:sz w:val="32"/>
          <w:szCs w:val="32"/>
          <w:highlight w:val="none"/>
          <w:lang w:val="en-US" w:eastAsia="zh-CN"/>
        </w:rPr>
        <w:t>食品动物肌肉、脂肪、肝、肾中</w:t>
      </w:r>
      <w:r>
        <w:rPr>
          <w:rFonts w:hint="eastAsia" w:ascii="仿宋_GB2312" w:hAnsi="仿宋" w:eastAsia="仿宋_GB2312" w:cs="仿宋"/>
          <w:color w:val="auto"/>
          <w:kern w:val="2"/>
          <w:sz w:val="32"/>
          <w:szCs w:val="32"/>
          <w:highlight w:val="none"/>
          <w:lang w:val="zh-CN" w:eastAsia="zh-CN"/>
        </w:rPr>
        <w:t>磺胺类（</w:t>
      </w:r>
      <w:r>
        <w:rPr>
          <w:rFonts w:hint="eastAsia" w:ascii="仿宋_GB2312" w:hAnsi="仿宋" w:eastAsia="仿宋_GB2312" w:cs="仿宋"/>
          <w:color w:val="auto"/>
          <w:kern w:val="2"/>
          <w:sz w:val="32"/>
          <w:szCs w:val="32"/>
          <w:highlight w:val="none"/>
          <w:lang w:val="en-US" w:eastAsia="zh-CN"/>
        </w:rPr>
        <w:t>总量</w:t>
      </w:r>
      <w:r>
        <w:rPr>
          <w:rFonts w:hint="eastAsia" w:ascii="仿宋_GB2312" w:hAnsi="仿宋" w:eastAsia="仿宋_GB2312" w:cs="仿宋"/>
          <w:color w:val="auto"/>
          <w:kern w:val="2"/>
          <w:sz w:val="32"/>
          <w:szCs w:val="32"/>
          <w:highlight w:val="none"/>
          <w:lang w:val="zh-CN" w:eastAsia="zh-CN"/>
        </w:rPr>
        <w:t>）最</w:t>
      </w:r>
      <w:r>
        <w:rPr>
          <w:rFonts w:hint="eastAsia" w:ascii="仿宋_GB2312" w:hAnsi="仿宋" w:eastAsia="仿宋_GB2312" w:cs="仿宋"/>
          <w:color w:val="auto"/>
          <w:kern w:val="2"/>
          <w:sz w:val="32"/>
          <w:szCs w:val="32"/>
          <w:highlight w:val="none"/>
          <w:lang w:val="en-US" w:eastAsia="zh-CN"/>
        </w:rPr>
        <w:t>大</w:t>
      </w:r>
      <w:r>
        <w:rPr>
          <w:rFonts w:hint="eastAsia" w:ascii="仿宋_GB2312" w:hAnsi="仿宋" w:eastAsia="仿宋_GB2312" w:cs="仿宋"/>
          <w:color w:val="auto"/>
          <w:kern w:val="2"/>
          <w:sz w:val="32"/>
          <w:szCs w:val="32"/>
          <w:highlight w:val="none"/>
          <w:lang w:val="zh-CN" w:eastAsia="zh-CN"/>
        </w:rPr>
        <w:t>残留限量</w:t>
      </w:r>
      <w:r>
        <w:rPr>
          <w:rFonts w:hint="eastAsia" w:ascii="仿宋_GB2312" w:hAnsi="仿宋" w:eastAsia="仿宋_GB2312" w:cs="仿宋"/>
          <w:color w:val="auto"/>
          <w:kern w:val="2"/>
          <w:sz w:val="32"/>
          <w:szCs w:val="32"/>
          <w:highlight w:val="none"/>
          <w:lang w:val="en-US" w:eastAsia="zh-CN"/>
        </w:rPr>
        <w:t>值为</w:t>
      </w:r>
      <w:r>
        <w:rPr>
          <w:rFonts w:hint="eastAsia" w:ascii="仿宋_GB2312" w:hAnsi="仿宋" w:eastAsia="仿宋_GB2312" w:cs="仿宋"/>
          <w:color w:val="auto"/>
          <w:kern w:val="2"/>
          <w:sz w:val="32"/>
          <w:szCs w:val="32"/>
          <w:highlight w:val="none"/>
          <w:lang w:val="zh-CN" w:eastAsia="zh-CN"/>
        </w:rPr>
        <w:t>100μg/kg。</w:t>
      </w:r>
      <w:r>
        <w:rPr>
          <w:rFonts w:hint="eastAsia" w:ascii="仿宋_GB2312" w:hAnsi="仿宋" w:eastAsia="仿宋_GB2312" w:cs="仿宋"/>
          <w:color w:val="auto"/>
          <w:kern w:val="2"/>
          <w:sz w:val="32"/>
          <w:szCs w:val="32"/>
          <w:highlight w:val="none"/>
          <w:lang w:val="en-US" w:eastAsia="zh-CN"/>
        </w:rPr>
        <w:t>动物性产品的磺胺类药物残留通常很低，一般不会导致对人体的急性毒性作用</w:t>
      </w:r>
      <w:r>
        <w:rPr>
          <w:rFonts w:hint="eastAsia" w:ascii="仿宋_GB2312" w:hAnsi="仿宋" w:eastAsia="仿宋_GB2312" w:cs="仿宋"/>
          <w:color w:val="auto"/>
          <w:kern w:val="2"/>
          <w:sz w:val="32"/>
          <w:szCs w:val="32"/>
          <w:highlight w:val="none"/>
          <w:lang w:val="zh-CN" w:eastAsia="zh-CN"/>
        </w:rPr>
        <w:t>。</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十三、倍硫磷</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倍硫磷具有触杀、胃毒和熏蒸作用的有机磷农药。《食品安全国家标准 食品中农药最大残留限量》（GB 2763-2021）中规定，豆类蔬菜中倍硫磷最大残留限量值为0.05 mg/kg。少量的倍硫磷农药残留不会引起人体急性中毒，但长期食用倍硫磷超标的食品，对人体健康有一定影响。</w:t>
      </w:r>
      <w:r>
        <w:rPr>
          <w:rFonts w:hint="eastAsia" w:ascii="仿宋_GB2312" w:hAnsi="仿宋" w:eastAsia="仿宋_GB2312" w:cs="仿宋"/>
          <w:color w:val="auto"/>
          <w:kern w:val="2"/>
          <w:sz w:val="32"/>
          <w:szCs w:val="32"/>
          <w:highlight w:val="none"/>
        </w:rPr>
        <w:t>豇豆中倍硫磷残留量超标的原因，可能是为快速控制虫害，加大用药量或未遵守采摘间隔期规定，致使上市销售的产品中残留量超标。</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十四、毒死蜱</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毒死蜱是一种具有触杀、胃毒和熏蒸作用的有机磷杀虫剂。《食品安全国家标准 食品中农药最大残留限量》（GB 2763-2021）中规定，根茎类和薯芋类蔬菜中毒死蜱最大残留限量值为0.02mg/kg。食用食品一般不会导致毒死蜱急性中毒，但长期食用毒死蜱超标的食品，对人体健康也有一定影响。</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十五</w:t>
      </w:r>
      <w:r>
        <w:rPr>
          <w:rFonts w:hint="eastAsia" w:ascii="黑体" w:hAnsi="黑体" w:eastAsia="黑体" w:cs="黑体"/>
          <w:b w:val="0"/>
          <w:bCs/>
          <w:color w:val="auto"/>
          <w:szCs w:val="32"/>
          <w:lang w:val="zh-CN" w:eastAsia="zh-CN"/>
        </w:rPr>
        <w:t>、恩诺沙星</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 w:eastAsia="仿宋_GB2312" w:cs="仿宋"/>
          <w:color w:val="auto"/>
          <w:kern w:val="2"/>
          <w:sz w:val="32"/>
          <w:szCs w:val="32"/>
          <w:highlight w:val="none"/>
        </w:rPr>
        <w:t>家禽的肌肉、鱼的皮和肉中恩诺沙星</w:t>
      </w:r>
      <w:r>
        <w:rPr>
          <w:rFonts w:hint="eastAsia" w:ascii="仿宋_GB2312" w:hAnsi="仿宋" w:eastAsia="仿宋_GB2312" w:cs="仿宋"/>
          <w:color w:val="auto"/>
          <w:kern w:val="2"/>
          <w:sz w:val="32"/>
          <w:szCs w:val="32"/>
          <w:highlight w:val="none"/>
          <w:lang w:val="zh-CN" w:eastAsia="zh-CN"/>
        </w:rPr>
        <w:t>(以恩诺沙星与环丙沙星之和计)</w:t>
      </w:r>
      <w:r>
        <w:rPr>
          <w:rFonts w:hint="eastAsia" w:ascii="仿宋_GB2312" w:hAnsi="仿宋" w:eastAsia="仿宋_GB2312" w:cs="仿宋"/>
          <w:color w:val="auto"/>
          <w:kern w:val="2"/>
          <w:sz w:val="32"/>
          <w:szCs w:val="32"/>
          <w:highlight w:val="none"/>
        </w:rPr>
        <w:t>最大残留限量值</w:t>
      </w:r>
      <w:r>
        <w:rPr>
          <w:rFonts w:hint="eastAsia" w:ascii="仿宋_GB2312" w:hAnsi="仿宋" w:eastAsia="仿宋_GB2312" w:cs="仿宋"/>
          <w:color w:val="auto"/>
          <w:kern w:val="2"/>
          <w:sz w:val="32"/>
          <w:szCs w:val="32"/>
          <w:highlight w:val="none"/>
          <w:lang w:val="en-US" w:eastAsia="zh-CN"/>
        </w:rPr>
        <w:t>均为</w:t>
      </w:r>
      <w:r>
        <w:rPr>
          <w:rFonts w:hint="eastAsia" w:ascii="仿宋_GB2312" w:hAnsi="仿宋" w:eastAsia="仿宋_GB2312" w:cs="仿宋"/>
          <w:color w:val="auto"/>
          <w:kern w:val="2"/>
          <w:sz w:val="32"/>
          <w:szCs w:val="32"/>
          <w:highlight w:val="none"/>
          <w:lang w:val="zh-CN" w:eastAsia="zh-CN"/>
        </w:rPr>
        <w:t>100μg/kg。老年人、儿童及低免疫力人群</w:t>
      </w:r>
      <w:r>
        <w:rPr>
          <w:rFonts w:hint="eastAsia" w:ascii="仿宋_GB2312" w:hAnsi="仿宋" w:eastAsia="仿宋_GB2312" w:cs="仿宋"/>
          <w:color w:val="auto"/>
          <w:kern w:val="2"/>
          <w:sz w:val="32"/>
          <w:szCs w:val="32"/>
          <w:highlight w:val="none"/>
          <w:lang w:val="en-US" w:eastAsia="zh-CN"/>
        </w:rPr>
        <w:t>长期食用</w:t>
      </w:r>
      <w:r>
        <w:rPr>
          <w:rFonts w:hint="eastAsia" w:ascii="仿宋_GB2312" w:hAnsi="仿宋" w:eastAsia="仿宋_GB2312" w:cs="仿宋"/>
          <w:color w:val="auto"/>
          <w:kern w:val="2"/>
          <w:sz w:val="32"/>
          <w:szCs w:val="32"/>
          <w:highlight w:val="none"/>
          <w:lang w:val="zh-CN" w:eastAsia="zh-CN"/>
        </w:rPr>
        <w:t>恩诺沙星</w:t>
      </w:r>
      <w:r>
        <w:rPr>
          <w:rFonts w:hint="eastAsia" w:ascii="仿宋_GB2312" w:hAnsi="仿宋" w:eastAsia="仿宋_GB2312" w:cs="仿宋"/>
          <w:color w:val="auto"/>
          <w:kern w:val="2"/>
          <w:sz w:val="32"/>
          <w:szCs w:val="32"/>
          <w:highlight w:val="none"/>
          <w:lang w:val="en-US" w:eastAsia="zh-CN"/>
        </w:rPr>
        <w:t>超标的食品</w:t>
      </w:r>
      <w:r>
        <w:rPr>
          <w:rFonts w:hint="eastAsia" w:ascii="仿宋_GB2312" w:hAnsi="仿宋" w:eastAsia="仿宋_GB2312" w:cs="仿宋"/>
          <w:color w:val="auto"/>
          <w:kern w:val="2"/>
          <w:sz w:val="32"/>
          <w:szCs w:val="32"/>
          <w:highlight w:val="none"/>
          <w:lang w:val="zh-CN" w:eastAsia="zh-CN"/>
        </w:rPr>
        <w:t>，可引起轻度胃肠道不适、头痛、头晕等症状，并产生耐药性。</w:t>
      </w:r>
      <w:r>
        <w:rPr>
          <w:rFonts w:hint="eastAsia" w:ascii="仿宋_GB2312" w:hAnsi="仿宋" w:eastAsia="仿宋_GB2312" w:cs="仿宋"/>
          <w:color w:val="auto"/>
          <w:kern w:val="2"/>
          <w:sz w:val="32"/>
          <w:szCs w:val="32"/>
          <w:highlight w:val="none"/>
          <w:lang w:val="en-US" w:eastAsia="zh-CN"/>
        </w:rPr>
        <w:t>鱼类产品、家禽</w:t>
      </w:r>
      <w:r>
        <w:rPr>
          <w:rFonts w:hint="eastAsia" w:ascii="仿宋_GB2312" w:hAnsi="仿宋" w:eastAsia="仿宋_GB2312" w:cs="仿宋"/>
          <w:color w:val="auto"/>
          <w:kern w:val="2"/>
          <w:sz w:val="32"/>
          <w:szCs w:val="32"/>
          <w:highlight w:val="none"/>
        </w:rPr>
        <w:t>中恩诺沙星残留量超标的原因，可能是在养殖过程中为快速控制疫病，违规加大用药量或不遵守休药期规定，致使上市销售产品中的药物残留量超标。</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十六、氟苯尼考</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氟苯尼考又称氟甲砜霉素，是农业农村部批准使用的动物专用抗菌药，主要用于敏感细菌所致的猪、鸡、鱼的细菌性疾病。《食品安全国家标准 食品中兽药最大残留限量》（GB 31650-2019）中规定，氟苯尼考可用于猪、牛、羊、禽、鱼等，贝类肌肉中氟苯尼考最大残留限量为100μg/kg。</w:t>
      </w:r>
      <w:r>
        <w:rPr>
          <w:rFonts w:hint="eastAsia" w:ascii="仿宋_GB2312" w:hAnsi="仿宋" w:eastAsia="仿宋_GB2312" w:cs="仿宋"/>
          <w:color w:val="auto"/>
          <w:kern w:val="2"/>
          <w:sz w:val="32"/>
          <w:szCs w:val="32"/>
          <w:highlight w:val="none"/>
          <w:lang w:val="zh-CN" w:eastAsia="zh-CN"/>
        </w:rPr>
        <w:t>《食品安全国家标准 食品中41种兽药最大残留限量》（GB 31650</w:t>
      </w:r>
      <w:r>
        <w:rPr>
          <w:rFonts w:hint="eastAsia" w:ascii="仿宋_GB2312" w:hAnsi="仿宋" w:eastAsia="仿宋_GB2312" w:cs="仿宋"/>
          <w:color w:val="auto"/>
          <w:kern w:val="2"/>
          <w:sz w:val="32"/>
          <w:szCs w:val="32"/>
          <w:highlight w:val="none"/>
          <w:lang w:val="en-US" w:eastAsia="zh-CN"/>
        </w:rPr>
        <w:t>.1</w:t>
      </w:r>
      <w:r>
        <w:rPr>
          <w:rFonts w:hint="eastAsia" w:ascii="仿宋_GB2312" w:hAnsi="仿宋" w:eastAsia="仿宋_GB2312" w:cs="仿宋"/>
          <w:color w:val="auto"/>
          <w:kern w:val="2"/>
          <w:sz w:val="32"/>
          <w:szCs w:val="32"/>
          <w:highlight w:val="none"/>
          <w:lang w:val="zh-CN" w:eastAsia="zh-CN"/>
        </w:rPr>
        <w:t>-20</w:t>
      </w:r>
      <w:r>
        <w:rPr>
          <w:rFonts w:hint="eastAsia" w:ascii="仿宋_GB2312" w:hAnsi="仿宋" w:eastAsia="仿宋_GB2312" w:cs="仿宋"/>
          <w:color w:val="auto"/>
          <w:kern w:val="2"/>
          <w:sz w:val="32"/>
          <w:szCs w:val="32"/>
          <w:highlight w:val="none"/>
          <w:lang w:val="en-US" w:eastAsia="zh-CN"/>
        </w:rPr>
        <w:t>22</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家禽蛋中氟苯尼考</w:t>
      </w:r>
      <w:r>
        <w:rPr>
          <w:rFonts w:hint="eastAsia" w:ascii="仿宋_GB2312" w:hAnsi="仿宋" w:eastAsia="仿宋_GB2312" w:cs="仿宋"/>
          <w:color w:val="auto"/>
          <w:kern w:val="2"/>
          <w:sz w:val="32"/>
          <w:szCs w:val="32"/>
          <w:highlight w:val="none"/>
          <w:lang w:val="zh-CN" w:eastAsia="zh-CN"/>
        </w:rPr>
        <w:t>最</w:t>
      </w:r>
      <w:r>
        <w:rPr>
          <w:rFonts w:hint="eastAsia" w:ascii="仿宋_GB2312" w:hAnsi="仿宋" w:eastAsia="仿宋_GB2312" w:cs="仿宋"/>
          <w:color w:val="auto"/>
          <w:kern w:val="2"/>
          <w:sz w:val="32"/>
          <w:szCs w:val="32"/>
          <w:highlight w:val="none"/>
          <w:lang w:val="en-US" w:eastAsia="zh-CN"/>
        </w:rPr>
        <w:t>大</w:t>
      </w:r>
      <w:r>
        <w:rPr>
          <w:rFonts w:hint="eastAsia" w:ascii="仿宋_GB2312" w:hAnsi="仿宋" w:eastAsia="仿宋_GB2312" w:cs="仿宋"/>
          <w:color w:val="auto"/>
          <w:kern w:val="2"/>
          <w:sz w:val="32"/>
          <w:szCs w:val="32"/>
          <w:highlight w:val="none"/>
          <w:lang w:val="zh-CN" w:eastAsia="zh-CN"/>
        </w:rPr>
        <w:t>残留限量</w:t>
      </w:r>
      <w:r>
        <w:rPr>
          <w:rFonts w:hint="eastAsia" w:ascii="仿宋_GB2312" w:hAnsi="仿宋" w:eastAsia="仿宋_GB2312" w:cs="仿宋"/>
          <w:color w:val="auto"/>
          <w:kern w:val="2"/>
          <w:sz w:val="32"/>
          <w:szCs w:val="32"/>
          <w:highlight w:val="none"/>
          <w:lang w:val="en-US" w:eastAsia="zh-CN"/>
        </w:rPr>
        <w:t>值</w:t>
      </w:r>
      <w:r>
        <w:rPr>
          <w:rFonts w:hint="eastAsia" w:ascii="仿宋_GB2312" w:hAnsi="仿宋" w:eastAsia="仿宋_GB2312" w:cs="仿宋"/>
          <w:color w:val="auto"/>
          <w:kern w:val="2"/>
          <w:sz w:val="32"/>
          <w:szCs w:val="32"/>
          <w:highlight w:val="none"/>
          <w:lang w:val="zh-CN" w:eastAsia="zh-CN"/>
        </w:rPr>
        <w:t>为10μg/kg。</w:t>
      </w:r>
      <w:r>
        <w:rPr>
          <w:rFonts w:hint="eastAsia" w:ascii="仿宋_GB2312" w:hAnsi="仿宋" w:eastAsia="仿宋_GB2312" w:cs="仿宋"/>
          <w:color w:val="auto"/>
          <w:kern w:val="2"/>
          <w:sz w:val="32"/>
          <w:szCs w:val="32"/>
          <w:highlight w:val="none"/>
          <w:lang w:val="en-US" w:eastAsia="zh-CN"/>
        </w:rPr>
        <w:t>贝类氟苯尼考超标原因可能是通过饲料添加或者疾病治疗导致体内残留的积累。鸡蛋中检出氟苯尼考超标的原因，可能是用药治疗蛋鸡疾病导致氟苯尼考在其体内残留，进而传递至鸡蛋中。</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七</w:t>
      </w:r>
      <w:r>
        <w:rPr>
          <w:rFonts w:hint="eastAsia" w:ascii="黑体" w:hAnsi="黑体" w:eastAsia="黑体" w:cs="黑体"/>
          <w:b w:val="0"/>
          <w:bCs/>
          <w:color w:val="auto"/>
          <w:szCs w:val="32"/>
          <w:lang w:val="zh-CN" w:eastAsia="zh-CN"/>
        </w:rPr>
        <w:t>、甲拌磷</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zh-CN" w:eastAsia="zh-CN"/>
        </w:rPr>
        <w:t>甲拌磷为一种高毒的内吸性杀虫剂、杀螨剂，具有触杀、胃毒、熏蒸作用，持效期较长等特点。《食品安全国家标准食品中农药最大残留限量》（GB 2763</w:t>
      </w:r>
      <w:r>
        <w:rPr>
          <w:rFonts w:hint="eastAsia" w:ascii="仿宋_GB2312" w:hAnsi="仿宋" w:eastAsia="仿宋_GB2312" w:cs="仿宋"/>
          <w:color w:val="auto"/>
          <w:kern w:val="2"/>
          <w:sz w:val="32"/>
          <w:szCs w:val="32"/>
          <w:highlight w:val="none"/>
          <w:lang w:val="en-US" w:eastAsia="zh-CN"/>
        </w:rPr>
        <w:t>-</w:t>
      </w:r>
      <w:r>
        <w:rPr>
          <w:rFonts w:hint="eastAsia" w:ascii="仿宋_GB2312" w:hAnsi="仿宋" w:eastAsia="仿宋_GB2312" w:cs="仿宋"/>
          <w:color w:val="auto"/>
          <w:kern w:val="2"/>
          <w:sz w:val="32"/>
          <w:szCs w:val="32"/>
          <w:highlight w:val="none"/>
          <w:lang w:val="zh-CN" w:eastAsia="zh-CN"/>
        </w:rPr>
        <w:t>20</w:t>
      </w:r>
      <w:r>
        <w:rPr>
          <w:rFonts w:hint="eastAsia" w:ascii="仿宋_GB2312" w:hAnsi="仿宋" w:eastAsia="仿宋_GB2312" w:cs="仿宋"/>
          <w:color w:val="auto"/>
          <w:kern w:val="2"/>
          <w:sz w:val="32"/>
          <w:szCs w:val="32"/>
          <w:highlight w:val="none"/>
          <w:lang w:val="en-US" w:eastAsia="zh-CN"/>
        </w:rPr>
        <w:t>21</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根茎类和薯芋类蔬菜中</w:t>
      </w:r>
      <w:r>
        <w:rPr>
          <w:rFonts w:hint="eastAsia" w:ascii="仿宋_GB2312" w:hAnsi="仿宋" w:eastAsia="仿宋_GB2312" w:cs="仿宋"/>
          <w:color w:val="auto"/>
          <w:kern w:val="2"/>
          <w:sz w:val="32"/>
          <w:szCs w:val="32"/>
          <w:highlight w:val="none"/>
          <w:lang w:val="zh-CN" w:eastAsia="zh-CN"/>
        </w:rPr>
        <w:t>甲拌磷</w:t>
      </w:r>
      <w:r>
        <w:rPr>
          <w:rFonts w:hint="eastAsia" w:ascii="仿宋_GB2312" w:hAnsi="仿宋" w:eastAsia="仿宋_GB2312" w:cs="仿宋"/>
          <w:color w:val="auto"/>
          <w:kern w:val="2"/>
          <w:sz w:val="32"/>
          <w:szCs w:val="32"/>
          <w:highlight w:val="none"/>
          <w:lang w:val="en-US" w:eastAsia="zh-CN"/>
        </w:rPr>
        <w:t>最大</w:t>
      </w:r>
      <w:r>
        <w:rPr>
          <w:rFonts w:hint="eastAsia" w:ascii="仿宋_GB2312" w:hAnsi="仿宋" w:eastAsia="仿宋_GB2312" w:cs="仿宋"/>
          <w:color w:val="auto"/>
          <w:kern w:val="2"/>
          <w:sz w:val="32"/>
          <w:szCs w:val="32"/>
          <w:highlight w:val="none"/>
          <w:lang w:val="zh-CN" w:eastAsia="zh-CN"/>
        </w:rPr>
        <w:t>残留限量值</w:t>
      </w:r>
      <w:r>
        <w:rPr>
          <w:rFonts w:hint="eastAsia" w:ascii="仿宋_GB2312" w:hAnsi="仿宋" w:eastAsia="仿宋_GB2312" w:cs="仿宋"/>
          <w:color w:val="auto"/>
          <w:kern w:val="2"/>
          <w:sz w:val="32"/>
          <w:szCs w:val="32"/>
          <w:highlight w:val="none"/>
          <w:lang w:val="en-US" w:eastAsia="zh-CN"/>
        </w:rPr>
        <w:t>为</w:t>
      </w:r>
      <w:r>
        <w:rPr>
          <w:rFonts w:hint="eastAsia" w:ascii="仿宋_GB2312" w:hAnsi="仿宋" w:eastAsia="仿宋_GB2312" w:cs="仿宋"/>
          <w:color w:val="auto"/>
          <w:kern w:val="2"/>
          <w:sz w:val="32"/>
          <w:szCs w:val="32"/>
          <w:highlight w:val="none"/>
          <w:lang w:val="zh-CN" w:eastAsia="zh-CN"/>
        </w:rPr>
        <w:t>0.01mg/kg。甲拌磷对人、畜剧毒，短期内大量接触（口服、吸入、皮肤、黏膜）可引起急性中毒。少量的甲拌磷农药残留不会引起人体急性中毒，但长期食用甲拌磷超标的食品，对人体健康有一定影响。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rPr>
      </w:pPr>
      <w:r>
        <w:rPr>
          <w:rFonts w:hint="eastAsia" w:ascii="黑体" w:hAnsi="黑体" w:eastAsia="黑体" w:cs="黑体"/>
          <w:b w:val="0"/>
          <w:bCs/>
          <w:color w:val="auto"/>
          <w:szCs w:val="32"/>
          <w:lang w:val="en-US" w:eastAsia="zh-CN"/>
        </w:rPr>
        <w:t>十八、</w:t>
      </w:r>
      <w:r>
        <w:rPr>
          <w:rFonts w:hint="eastAsia" w:ascii="黑体" w:hAnsi="黑体" w:eastAsia="黑体" w:cs="黑体"/>
          <w:b w:val="0"/>
          <w:bCs/>
          <w:color w:val="auto"/>
          <w:szCs w:val="32"/>
          <w:lang w:val="en-US"/>
        </w:rPr>
        <w:t>孔雀石绿</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孔雀石绿极易溶于水，水溶液呈蓝绿色，是工业染料。在水产养殖过程中，曾作为杀菌剂和抗寄生虫药，用于防治各种鱼病。孔雀石绿在鱼体内代谢为隐色孔雀石绿，长时间残留于生物体内。</w:t>
      </w:r>
      <w:r>
        <w:rPr>
          <w:rFonts w:hint="default" w:ascii="仿宋_GB2312" w:hAnsi="仿宋" w:eastAsia="仿宋_GB2312" w:cs="仿宋"/>
          <w:color w:val="auto"/>
          <w:kern w:val="2"/>
          <w:sz w:val="32"/>
          <w:szCs w:val="32"/>
          <w:highlight w:val="none"/>
          <w:lang w:val="en-US" w:eastAsia="zh-CN"/>
        </w:rPr>
        <w:t>《食品动物中禁止使用的药品及其他化合物清单》（农业农村部公告 第250号）</w:t>
      </w:r>
      <w:r>
        <w:rPr>
          <w:rFonts w:hint="eastAsia" w:ascii="仿宋_GB2312" w:hAnsi="仿宋" w:eastAsia="仿宋_GB2312" w:cs="仿宋"/>
          <w:color w:val="auto"/>
          <w:kern w:val="2"/>
          <w:sz w:val="32"/>
          <w:szCs w:val="32"/>
          <w:highlight w:val="none"/>
          <w:lang w:val="en-US" w:eastAsia="zh-CN"/>
        </w:rPr>
        <w:t>中规定，孔雀石绿为食品动物中禁止使用的药物。食用食品一般不会导致孔雀石绿的急性中毒，但长期食用孔雀石绿超标的食品，对人体健康有一定影响。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十九</w:t>
      </w:r>
      <w:r>
        <w:rPr>
          <w:rFonts w:hint="eastAsia" w:ascii="黑体" w:hAnsi="黑体" w:eastAsia="黑体" w:cs="黑体"/>
          <w:b w:val="0"/>
          <w:bCs/>
          <w:color w:val="auto"/>
          <w:szCs w:val="32"/>
          <w:lang w:val="zh-CN" w:eastAsia="zh-CN"/>
        </w:rPr>
        <w:t>、氧乐果</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zh-CN" w:eastAsia="zh-CN"/>
        </w:rPr>
        <w:t>氧乐果是一种内吸性强，杀虫活性高的杀虫剂，</w:t>
      </w:r>
      <w:r>
        <w:rPr>
          <w:rFonts w:hint="default" w:ascii="仿宋_GB2312" w:hAnsi="仿宋" w:eastAsia="仿宋_GB2312" w:cs="仿宋"/>
          <w:color w:val="auto"/>
          <w:kern w:val="2"/>
          <w:sz w:val="32"/>
          <w:szCs w:val="32"/>
          <w:highlight w:val="none"/>
          <w:lang w:val="zh-CN" w:eastAsia="zh-CN"/>
        </w:rPr>
        <w:t>急性毒性分级为中等毒</w:t>
      </w:r>
      <w:r>
        <w:rPr>
          <w:rFonts w:hint="eastAsia" w:ascii="仿宋_GB2312" w:hAnsi="仿宋" w:eastAsia="仿宋_GB2312" w:cs="仿宋"/>
          <w:color w:val="auto"/>
          <w:kern w:val="2"/>
          <w:sz w:val="32"/>
          <w:szCs w:val="32"/>
          <w:highlight w:val="none"/>
          <w:lang w:val="zh-CN" w:eastAsia="zh-CN"/>
        </w:rPr>
        <w:t>，</w:t>
      </w:r>
      <w:r>
        <w:rPr>
          <w:rFonts w:hint="default" w:ascii="仿宋_GB2312" w:hAnsi="仿宋" w:eastAsia="仿宋_GB2312" w:cs="仿宋"/>
          <w:color w:val="auto"/>
          <w:kern w:val="2"/>
          <w:sz w:val="32"/>
          <w:szCs w:val="32"/>
          <w:highlight w:val="none"/>
          <w:lang w:val="zh-CN" w:eastAsia="zh-CN"/>
        </w:rPr>
        <w:t>中毒机制是抑制体内胆碱酯酶活性。</w:t>
      </w:r>
      <w:r>
        <w:rPr>
          <w:rFonts w:hint="eastAsia" w:ascii="仿宋_GB2312" w:hAnsi="仿宋" w:eastAsia="仿宋_GB2312" w:cs="仿宋"/>
          <w:color w:val="auto"/>
          <w:kern w:val="2"/>
          <w:sz w:val="32"/>
          <w:szCs w:val="32"/>
          <w:highlight w:val="none"/>
          <w:lang w:val="zh-CN" w:eastAsia="zh-CN"/>
        </w:rPr>
        <w:t>《食品安全国家标准 食品中农药最大残留限量》（GB 2763-20</w:t>
      </w:r>
      <w:r>
        <w:rPr>
          <w:rFonts w:hint="eastAsia" w:ascii="仿宋_GB2312" w:hAnsi="仿宋" w:eastAsia="仿宋_GB2312" w:cs="仿宋"/>
          <w:color w:val="auto"/>
          <w:kern w:val="2"/>
          <w:sz w:val="32"/>
          <w:szCs w:val="32"/>
          <w:highlight w:val="none"/>
          <w:lang w:val="en-US" w:eastAsia="zh-CN"/>
        </w:rPr>
        <w:t>21</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豆类蔬菜</w:t>
      </w:r>
      <w:r>
        <w:rPr>
          <w:rFonts w:hint="eastAsia" w:ascii="仿宋_GB2312" w:hAnsi="仿宋" w:eastAsia="仿宋_GB2312" w:cs="仿宋"/>
          <w:color w:val="auto"/>
          <w:kern w:val="2"/>
          <w:sz w:val="32"/>
          <w:szCs w:val="32"/>
          <w:highlight w:val="none"/>
          <w:lang w:val="zh-CN" w:eastAsia="zh-CN"/>
        </w:rPr>
        <w:t>中氧乐果</w:t>
      </w:r>
      <w:r>
        <w:rPr>
          <w:rFonts w:hint="eastAsia" w:ascii="仿宋_GB2312" w:hAnsi="仿宋" w:eastAsia="仿宋_GB2312" w:cs="仿宋"/>
          <w:color w:val="auto"/>
          <w:kern w:val="2"/>
          <w:sz w:val="32"/>
          <w:szCs w:val="32"/>
          <w:highlight w:val="none"/>
          <w:lang w:val="en-US" w:eastAsia="zh-CN"/>
        </w:rPr>
        <w:t>最大</w:t>
      </w:r>
      <w:r>
        <w:rPr>
          <w:rFonts w:hint="eastAsia" w:ascii="仿宋_GB2312" w:hAnsi="仿宋" w:eastAsia="仿宋_GB2312" w:cs="仿宋"/>
          <w:color w:val="auto"/>
          <w:kern w:val="2"/>
          <w:sz w:val="32"/>
          <w:szCs w:val="32"/>
          <w:highlight w:val="none"/>
          <w:lang w:val="zh-CN" w:eastAsia="zh-CN"/>
        </w:rPr>
        <w:t>残留限量值</w:t>
      </w:r>
      <w:r>
        <w:rPr>
          <w:rFonts w:hint="eastAsia" w:ascii="仿宋_GB2312" w:hAnsi="仿宋" w:eastAsia="仿宋_GB2312" w:cs="仿宋"/>
          <w:color w:val="auto"/>
          <w:kern w:val="2"/>
          <w:sz w:val="32"/>
          <w:szCs w:val="32"/>
          <w:highlight w:val="none"/>
          <w:lang w:val="en-US" w:eastAsia="zh-CN"/>
        </w:rPr>
        <w:t>为</w:t>
      </w:r>
      <w:r>
        <w:rPr>
          <w:rFonts w:hint="eastAsia" w:ascii="仿宋_GB2312" w:hAnsi="仿宋" w:eastAsia="仿宋_GB2312" w:cs="仿宋"/>
          <w:color w:val="auto"/>
          <w:kern w:val="2"/>
          <w:sz w:val="32"/>
          <w:szCs w:val="32"/>
          <w:highlight w:val="none"/>
          <w:lang w:val="zh-CN" w:eastAsia="zh-CN"/>
        </w:rPr>
        <w:t>0.02mg/kg。大部分喷洒的氧乐果会逸散在周围的土壤、大气、水体中，造成生态系统的污染，有可能会对环境生物产生潜在危害；蔬菜、水果中残留的氧乐果进入人体后对体内胆碱酯酶有抑制作用，可能会对人体造成各种急慢性毒性。</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w:t>
      </w:r>
      <w:r>
        <w:rPr>
          <w:rFonts w:hint="eastAsia" w:ascii="黑体" w:hAnsi="黑体" w:eastAsia="黑体" w:cs="黑体"/>
          <w:b w:val="0"/>
          <w:bCs/>
          <w:color w:val="auto"/>
          <w:szCs w:val="32"/>
          <w:lang w:val="zh-CN" w:eastAsia="zh-CN"/>
        </w:rPr>
        <w:t>、</w:t>
      </w:r>
      <w:r>
        <w:rPr>
          <w:rFonts w:hint="eastAsia" w:ascii="黑体" w:hAnsi="黑体" w:eastAsia="黑体" w:cs="黑体"/>
          <w:b w:val="0"/>
          <w:bCs/>
          <w:color w:val="auto"/>
          <w:szCs w:val="32"/>
          <w:lang w:val="en-US" w:eastAsia="zh-CN"/>
        </w:rPr>
        <w:t>敌敌畏</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en-US" w:eastAsia="zh-CN"/>
        </w:rPr>
        <w:t>敌敌畏是一种高效、速效且广谱的有机磷杀虫剂，具有触杀、胃毒和熏蒸作用。急性毒性分级为高毒，中毒者潜伏期短，发病快，症状有头晕、头痛、恶心、呕吐、腹痛、腹泻、流涎、瞳孔缩小、视线模糊，多汗，呼吸困难等。</w:t>
      </w:r>
      <w:r>
        <w:rPr>
          <w:rFonts w:hint="eastAsia" w:ascii="仿宋_GB2312" w:hAnsi="仿宋" w:eastAsia="仿宋_GB2312" w:cs="仿宋"/>
          <w:color w:val="auto"/>
          <w:kern w:val="2"/>
          <w:sz w:val="32"/>
          <w:szCs w:val="32"/>
          <w:highlight w:val="none"/>
          <w:lang w:val="zh-CN" w:eastAsia="zh-CN"/>
        </w:rPr>
        <w:t>《食品安全国家标准 食品中农药最大残留限量》（GB 2763-20</w:t>
      </w:r>
      <w:r>
        <w:rPr>
          <w:rFonts w:hint="eastAsia" w:ascii="仿宋_GB2312" w:hAnsi="仿宋" w:eastAsia="仿宋_GB2312" w:cs="仿宋"/>
          <w:color w:val="auto"/>
          <w:kern w:val="2"/>
          <w:sz w:val="32"/>
          <w:szCs w:val="32"/>
          <w:highlight w:val="none"/>
          <w:lang w:val="en-US" w:eastAsia="zh-CN"/>
        </w:rPr>
        <w:t>21</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仁果类水果（苹果除外）</w:t>
      </w:r>
      <w:r>
        <w:rPr>
          <w:rFonts w:hint="eastAsia" w:ascii="仿宋_GB2312" w:hAnsi="仿宋" w:eastAsia="仿宋_GB2312" w:cs="仿宋"/>
          <w:color w:val="auto"/>
          <w:kern w:val="2"/>
          <w:sz w:val="32"/>
          <w:szCs w:val="32"/>
          <w:highlight w:val="none"/>
          <w:lang w:val="zh-CN" w:eastAsia="zh-CN"/>
        </w:rPr>
        <w:t>中</w:t>
      </w:r>
      <w:r>
        <w:rPr>
          <w:rFonts w:hint="eastAsia" w:ascii="仿宋_GB2312" w:hAnsi="仿宋" w:eastAsia="仿宋_GB2312" w:cs="仿宋"/>
          <w:color w:val="auto"/>
          <w:kern w:val="2"/>
          <w:sz w:val="32"/>
          <w:szCs w:val="32"/>
          <w:highlight w:val="none"/>
          <w:lang w:val="en-US" w:eastAsia="zh-CN"/>
        </w:rPr>
        <w:t>敌敌畏最大</w:t>
      </w:r>
      <w:r>
        <w:rPr>
          <w:rFonts w:hint="eastAsia" w:ascii="仿宋_GB2312" w:hAnsi="仿宋" w:eastAsia="仿宋_GB2312" w:cs="仿宋"/>
          <w:color w:val="auto"/>
          <w:kern w:val="2"/>
          <w:sz w:val="32"/>
          <w:szCs w:val="32"/>
          <w:highlight w:val="none"/>
          <w:lang w:val="zh-CN" w:eastAsia="zh-CN"/>
        </w:rPr>
        <w:t>残留限量值</w:t>
      </w:r>
      <w:r>
        <w:rPr>
          <w:rFonts w:hint="eastAsia" w:ascii="仿宋_GB2312" w:hAnsi="仿宋" w:eastAsia="仿宋_GB2312" w:cs="仿宋"/>
          <w:color w:val="auto"/>
          <w:kern w:val="2"/>
          <w:sz w:val="32"/>
          <w:szCs w:val="32"/>
          <w:highlight w:val="none"/>
          <w:lang w:val="en-US" w:eastAsia="zh-CN"/>
        </w:rPr>
        <w:t>为</w:t>
      </w:r>
      <w:r>
        <w:rPr>
          <w:rFonts w:hint="eastAsia" w:ascii="仿宋_GB2312" w:hAnsi="仿宋" w:eastAsia="仿宋_GB2312" w:cs="仿宋"/>
          <w:color w:val="auto"/>
          <w:kern w:val="2"/>
          <w:sz w:val="32"/>
          <w:szCs w:val="32"/>
          <w:highlight w:val="none"/>
          <w:lang w:val="zh-CN" w:eastAsia="zh-CN"/>
        </w:rPr>
        <w:t>0.</w:t>
      </w:r>
      <w:r>
        <w:rPr>
          <w:rFonts w:hint="eastAsia" w:ascii="仿宋_GB2312" w:hAnsi="仿宋" w:eastAsia="仿宋_GB2312" w:cs="仿宋"/>
          <w:color w:val="auto"/>
          <w:kern w:val="2"/>
          <w:sz w:val="32"/>
          <w:szCs w:val="32"/>
          <w:highlight w:val="none"/>
          <w:lang w:val="en-US" w:eastAsia="zh-CN"/>
        </w:rPr>
        <w:t>2</w:t>
      </w:r>
      <w:r>
        <w:rPr>
          <w:rFonts w:hint="eastAsia" w:ascii="仿宋_GB2312" w:hAnsi="仿宋" w:eastAsia="仿宋_GB2312" w:cs="仿宋"/>
          <w:color w:val="auto"/>
          <w:kern w:val="2"/>
          <w:sz w:val="32"/>
          <w:szCs w:val="32"/>
          <w:highlight w:val="none"/>
          <w:lang w:val="zh-CN" w:eastAsia="zh-CN"/>
        </w:rPr>
        <w:t>mg/kg；</w:t>
      </w:r>
      <w:r>
        <w:rPr>
          <w:rFonts w:hint="eastAsia" w:ascii="仿宋_GB2312" w:hAnsi="仿宋" w:eastAsia="仿宋_GB2312" w:cs="仿宋"/>
          <w:color w:val="auto"/>
          <w:kern w:val="2"/>
          <w:sz w:val="32"/>
          <w:szCs w:val="32"/>
          <w:highlight w:val="none"/>
          <w:lang w:val="en-US" w:eastAsia="zh-CN"/>
        </w:rPr>
        <w:t>苹果中敌敌畏最大</w:t>
      </w:r>
      <w:r>
        <w:rPr>
          <w:rFonts w:hint="eastAsia" w:ascii="仿宋_GB2312" w:hAnsi="仿宋" w:eastAsia="仿宋_GB2312" w:cs="仿宋"/>
          <w:color w:val="auto"/>
          <w:kern w:val="2"/>
          <w:sz w:val="32"/>
          <w:szCs w:val="32"/>
          <w:highlight w:val="none"/>
          <w:lang w:val="zh-CN" w:eastAsia="zh-CN"/>
        </w:rPr>
        <w:t>残留限量值</w:t>
      </w:r>
      <w:r>
        <w:rPr>
          <w:rFonts w:hint="eastAsia" w:ascii="仿宋_GB2312" w:hAnsi="仿宋" w:eastAsia="仿宋_GB2312" w:cs="仿宋"/>
          <w:color w:val="auto"/>
          <w:kern w:val="2"/>
          <w:sz w:val="32"/>
          <w:szCs w:val="32"/>
          <w:highlight w:val="none"/>
          <w:lang w:val="en-US" w:eastAsia="zh-CN"/>
        </w:rPr>
        <w:t>为</w:t>
      </w:r>
      <w:r>
        <w:rPr>
          <w:rFonts w:hint="eastAsia" w:ascii="仿宋_GB2312" w:hAnsi="仿宋" w:eastAsia="仿宋_GB2312" w:cs="仿宋"/>
          <w:color w:val="auto"/>
          <w:kern w:val="2"/>
          <w:sz w:val="32"/>
          <w:szCs w:val="32"/>
          <w:highlight w:val="none"/>
          <w:lang w:val="zh-CN" w:eastAsia="zh-CN"/>
        </w:rPr>
        <w:t>0.</w:t>
      </w:r>
      <w:r>
        <w:rPr>
          <w:rFonts w:hint="eastAsia" w:ascii="仿宋_GB2312" w:hAnsi="仿宋" w:eastAsia="仿宋_GB2312" w:cs="仿宋"/>
          <w:color w:val="auto"/>
          <w:kern w:val="2"/>
          <w:sz w:val="32"/>
          <w:szCs w:val="32"/>
          <w:highlight w:val="none"/>
          <w:lang w:val="en-US" w:eastAsia="zh-CN"/>
        </w:rPr>
        <w:t>1</w:t>
      </w:r>
      <w:r>
        <w:rPr>
          <w:rFonts w:hint="eastAsia" w:ascii="仿宋_GB2312" w:hAnsi="仿宋" w:eastAsia="仿宋_GB2312" w:cs="仿宋"/>
          <w:color w:val="auto"/>
          <w:kern w:val="2"/>
          <w:sz w:val="32"/>
          <w:szCs w:val="32"/>
          <w:highlight w:val="none"/>
          <w:lang w:val="zh-CN" w:eastAsia="zh-CN"/>
        </w:rPr>
        <w:t>mg/kg。</w:t>
      </w:r>
      <w:r>
        <w:rPr>
          <w:rFonts w:hint="eastAsia" w:ascii="仿宋_GB2312" w:hAnsi="仿宋" w:eastAsia="仿宋_GB2312" w:cs="仿宋"/>
          <w:color w:val="auto"/>
          <w:kern w:val="2"/>
          <w:sz w:val="32"/>
          <w:szCs w:val="32"/>
          <w:highlight w:val="none"/>
          <w:lang w:val="en-US" w:eastAsia="zh-CN"/>
        </w:rPr>
        <w:t xml:space="preserve">食用食品一般不会导致敌敌畏的急性中毒，但长期食用敌敌畏超标的食品，对人体健康也有一定影响。 </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二十一、呋喃西林代谢物</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呋喃西林是硝基呋喃类抗菌药，具有抗菌谱广等特点，曾广泛用于畜禽及水产养殖业。硝基呋喃类原型药在生物体内代谢迅速，其代谢物和蛋白质结合后稳定，故检测其代谢物来反映硝基呋喃类药物的残留状况。《食品动物中禁止使用的药品及其他化合物清单》（农业农村部公告 第250号）中规定，呋喃西林为食品动物中禁止使用的药品。水产品中检出呋喃西林代谢物的原因，可能是在养殖过程中违规使用。</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二十二、甲基异柳磷</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甲基异柳磷属高毒性的硫代磷酸酯类有机磷农药，是高毒、高效、广谱的内吸性杀虫杀螨剂。甲基异柳磷在自然环境中容易流失也能迅速降解，半衰期短，不蓄积。《食品安全国家标准 食品中农药最大残留限量》（GB 2763-2021）中规定，鳞茎类蔬菜中甲基异柳磷最大残留限量值为0.01mg/kg。葱中甲基异柳磷残留量超标的原因，可能是为快速控制虫害而违规使用。</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二十三、尼卡巴嗪</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尼卡巴嗪对鸡的多种艾美耳球虫病有良好的防治效果，具有易吸收、长效等特点。长期食用尼卡巴嗪残留超标的食品，可能导致在人体内蓄积，对人体健康有一定影响。《食品安全国家标准 食品中兽药最大残留限量》（GB 31650-2019）中规定，鸡肌肉中尼卡巴嗪最大残留限量值为200μg/kg。鸡肉中尼卡巴嗪超标的原因，可能是在养殖过程中为快速控制疫病，违规加大用药量或不遵守休药期规定，致使上市销售时产品中的药物残留量超标。</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二十四、铅</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铅的污染来源分为直接污染和间接污染。直接污染是指食品在生产过程中直接接触铅或者由于生产工艺的原因直接加入含铅的原料；</w:t>
      </w:r>
      <w:r>
        <w:rPr>
          <w:rFonts w:hint="eastAsia" w:ascii="仿宋_GB2312" w:hAnsi="仿宋" w:eastAsia="仿宋_GB2312" w:cs="仿宋"/>
          <w:color w:val="auto"/>
          <w:kern w:val="2"/>
          <w:sz w:val="32"/>
          <w:szCs w:val="32"/>
          <w:highlight w:val="none"/>
          <w:lang w:val="en" w:eastAsia="zh-CN"/>
        </w:rPr>
        <w:t>间接污染</w:t>
      </w:r>
      <w:r>
        <w:rPr>
          <w:rFonts w:hint="default" w:ascii="仿宋_GB2312" w:hAnsi="仿宋" w:eastAsia="仿宋_GB2312" w:cs="仿宋"/>
          <w:color w:val="auto"/>
          <w:kern w:val="2"/>
          <w:sz w:val="32"/>
          <w:szCs w:val="32"/>
          <w:highlight w:val="none"/>
          <w:lang w:val="en" w:eastAsia="zh-CN"/>
        </w:rPr>
        <w:t>是指食品原材料在生长、生产过程中通过土壤、空气、水</w:t>
      </w:r>
      <w:r>
        <w:rPr>
          <w:rFonts w:hint="eastAsia" w:ascii="仿宋_GB2312" w:hAnsi="仿宋" w:eastAsia="仿宋_GB2312" w:cs="仿宋"/>
          <w:color w:val="auto"/>
          <w:kern w:val="2"/>
          <w:sz w:val="32"/>
          <w:szCs w:val="32"/>
          <w:highlight w:val="none"/>
          <w:lang w:val="en" w:eastAsia="zh-CN"/>
        </w:rPr>
        <w:t>等途径导致的污染。</w:t>
      </w:r>
      <w:r>
        <w:rPr>
          <w:rFonts w:hint="eastAsia" w:ascii="仿宋_GB2312" w:hAnsi="仿宋" w:eastAsia="仿宋_GB2312" w:cs="仿宋"/>
          <w:color w:val="auto"/>
          <w:kern w:val="2"/>
          <w:sz w:val="32"/>
          <w:szCs w:val="32"/>
          <w:highlight w:val="none"/>
          <w:lang w:val="en-US" w:eastAsia="zh-CN"/>
        </w:rPr>
        <w:t>《食品安全国家标准 食品中污染物限量》（GB 2762-2022）中规定，生姜中铅(以Pb计)限量值为0.2mg/kg。生姜中铅（以Pb计）检测值超标的原因，可能是其生长过程中富集环境中的铅元素。</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二十五、氯氰菊酯和高效氯氰菊酯</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en-US" w:eastAsia="zh-CN"/>
        </w:rPr>
        <w:t>氯氰菊酯和高效氯氰菊酯是非内吸性杀虫剂，具有触杀、胃毒作用，属于拟除虫菊酯类性农药。可以防治葡萄、蔬菜、马铃薯、葫芦、生菜等植物上的多种害虫。</w:t>
      </w:r>
      <w:r>
        <w:rPr>
          <w:rFonts w:hint="eastAsia" w:ascii="仿宋_GB2312" w:hAnsi="仿宋" w:eastAsia="仿宋_GB2312" w:cs="仿宋"/>
          <w:color w:val="auto"/>
          <w:kern w:val="2"/>
          <w:sz w:val="32"/>
          <w:szCs w:val="32"/>
          <w:highlight w:val="none"/>
          <w:lang w:val="zh-CN" w:eastAsia="zh-CN"/>
        </w:rPr>
        <w:t>《食品安全国家标准</w:t>
      </w:r>
      <w:r>
        <w:rPr>
          <w:rFonts w:hint="eastAsia" w:ascii="仿宋_GB2312" w:hAnsi="仿宋" w:eastAsia="仿宋_GB2312"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zh-CN" w:eastAsia="zh-CN"/>
        </w:rPr>
        <w:t>食品中农药最大残留限量》（GB 2763-20</w:t>
      </w:r>
      <w:r>
        <w:rPr>
          <w:rFonts w:hint="eastAsia" w:ascii="仿宋_GB2312" w:hAnsi="仿宋" w:eastAsia="仿宋_GB2312" w:cs="仿宋"/>
          <w:color w:val="auto"/>
          <w:kern w:val="2"/>
          <w:sz w:val="32"/>
          <w:szCs w:val="32"/>
          <w:highlight w:val="none"/>
          <w:lang w:val="en-US" w:eastAsia="zh-CN"/>
        </w:rPr>
        <w:t>21</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根茎类和薯芋类蔬菜中氯氰菊酯和高效氯氰菊酯最大</w:t>
      </w:r>
      <w:r>
        <w:rPr>
          <w:rFonts w:hint="eastAsia" w:ascii="仿宋_GB2312" w:hAnsi="仿宋" w:eastAsia="仿宋_GB2312" w:cs="仿宋"/>
          <w:color w:val="auto"/>
          <w:kern w:val="2"/>
          <w:sz w:val="32"/>
          <w:szCs w:val="32"/>
          <w:highlight w:val="none"/>
          <w:lang w:val="zh-CN" w:eastAsia="zh-CN"/>
        </w:rPr>
        <w:t>残留限量值</w:t>
      </w:r>
      <w:r>
        <w:rPr>
          <w:rFonts w:hint="eastAsia" w:ascii="仿宋_GB2312" w:hAnsi="仿宋" w:eastAsia="仿宋_GB2312" w:cs="仿宋"/>
          <w:color w:val="auto"/>
          <w:kern w:val="2"/>
          <w:sz w:val="32"/>
          <w:szCs w:val="32"/>
          <w:highlight w:val="none"/>
          <w:lang w:val="en-US" w:eastAsia="zh-CN"/>
        </w:rPr>
        <w:t>为</w:t>
      </w:r>
      <w:r>
        <w:rPr>
          <w:rFonts w:hint="eastAsia" w:ascii="仿宋_GB2312" w:hAnsi="仿宋" w:eastAsia="仿宋_GB2312" w:cs="仿宋"/>
          <w:color w:val="auto"/>
          <w:kern w:val="2"/>
          <w:sz w:val="32"/>
          <w:szCs w:val="32"/>
          <w:highlight w:val="none"/>
          <w:lang w:val="zh-CN" w:eastAsia="zh-CN"/>
        </w:rPr>
        <w:t>0</w:t>
      </w:r>
      <w:r>
        <w:rPr>
          <w:rFonts w:hint="eastAsia" w:ascii="仿宋_GB2312" w:hAnsi="仿宋" w:eastAsia="仿宋_GB2312" w:cs="仿宋"/>
          <w:color w:val="auto"/>
          <w:kern w:val="2"/>
          <w:sz w:val="32"/>
          <w:szCs w:val="32"/>
          <w:highlight w:val="none"/>
          <w:lang w:val="en-US" w:eastAsia="zh-CN"/>
        </w:rPr>
        <w:t xml:space="preserve">.01 </w:t>
      </w:r>
      <w:r>
        <w:rPr>
          <w:rFonts w:hint="eastAsia" w:ascii="仿宋_GB2312" w:hAnsi="仿宋" w:eastAsia="仿宋_GB2312" w:cs="仿宋"/>
          <w:color w:val="auto"/>
          <w:kern w:val="2"/>
          <w:sz w:val="32"/>
          <w:szCs w:val="32"/>
          <w:highlight w:val="none"/>
          <w:lang w:val="zh-CN" w:eastAsia="zh-CN"/>
        </w:rPr>
        <w:t>mg/kg。</w:t>
      </w:r>
      <w:r>
        <w:rPr>
          <w:rFonts w:hint="eastAsia" w:ascii="仿宋_GB2312" w:hAnsi="仿宋" w:eastAsia="仿宋_GB2312" w:cs="仿宋"/>
          <w:color w:val="auto"/>
          <w:kern w:val="2"/>
          <w:sz w:val="32"/>
          <w:szCs w:val="32"/>
          <w:highlight w:val="none"/>
          <w:lang w:val="en-US" w:eastAsia="zh-CN"/>
        </w:rPr>
        <w:t>甘薯中氯氰菊酯和高效氯氰菊酯超标的原因，可能是为控制病情不遵守休药期规定，致使上市销售时产品中的药物残留量未降解至标准限量以下。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cs="仿宋"/>
          <w:color w:val="auto"/>
          <w:kern w:val="2"/>
          <w:sz w:val="32"/>
          <w:szCs w:val="32"/>
          <w:highlight w:val="none"/>
          <w:lang w:val="en"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color w:val="auto"/>
          <w:kern w:val="2"/>
          <w:sz w:val="32"/>
          <w:szCs w:val="32"/>
          <w:highlight w:val="none"/>
          <w:lang w:val="en" w:eastAsia="zh-CN" w:bidi="ar-SA"/>
        </w:rPr>
      </w:pPr>
    </w:p>
    <w:p>
      <w:pPr>
        <w:pStyle w:val="2"/>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8839BB-4550-41DE-B6CB-5C2D2BF36DCA}"/>
  </w:font>
  <w:font w:name="黑体">
    <w:panose1 w:val="02010609060101010101"/>
    <w:charset w:val="86"/>
    <w:family w:val="auto"/>
    <w:pitch w:val="default"/>
    <w:sig w:usb0="800002BF" w:usb1="38CF7CFA" w:usb2="00000016" w:usb3="00000000" w:csb0="00040001" w:csb1="00000000"/>
    <w:embedRegular r:id="rId2" w:fontKey="{17F06903-B58D-40E6-B093-F6F712186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793BC53-6AB4-4D34-852D-34A6098B0723}"/>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21B9FE18-1782-4BD3-B118-82C4A1D5E79E}"/>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5" w:fontKey="{0AD6E090-A1CA-45A4-B625-33C12615D925}"/>
  </w:font>
  <w:font w:name="华文仿宋">
    <w:panose1 w:val="02010600040101010101"/>
    <w:charset w:val="86"/>
    <w:family w:val="auto"/>
    <w:pitch w:val="default"/>
    <w:sig w:usb0="00000287" w:usb1="080F0000" w:usb2="00000000" w:usb3="00000000" w:csb0="0004009F" w:csb1="DFD70000"/>
  </w:font>
  <w:font w:name="汉仪青云简">
    <w:panose1 w:val="00020600040101010101"/>
    <w:charset w:val="86"/>
    <w:family w:val="auto"/>
    <w:pitch w:val="default"/>
    <w:sig w:usb0="8000001F" w:usb1="1A0F781A" w:usb2="00000016" w:usb3="00000000" w:csb0="0004009F" w:csb1="DFD70000"/>
  </w:font>
  <w:font w:name="方正小标宋_GBK">
    <w:panose1 w:val="02000000000000000000"/>
    <w:charset w:val="86"/>
    <w:family w:val="auto"/>
    <w:pitch w:val="default"/>
    <w:sig w:usb0="A00002BF" w:usb1="38CF7CFA" w:usb2="00082016" w:usb3="00000000" w:csb0="00040001" w:csb1="00000000"/>
    <w:embedRegular r:id="rId6" w:fontKey="{0EE8C0E4-8A81-4A99-90DB-209BB211B718}"/>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30904ED"/>
    <w:rsid w:val="03095C9B"/>
    <w:rsid w:val="03365C46"/>
    <w:rsid w:val="034743C9"/>
    <w:rsid w:val="034F1986"/>
    <w:rsid w:val="03C230FA"/>
    <w:rsid w:val="03DD5D77"/>
    <w:rsid w:val="03E020C5"/>
    <w:rsid w:val="03FD00B3"/>
    <w:rsid w:val="0453793B"/>
    <w:rsid w:val="04977BD5"/>
    <w:rsid w:val="04AF4E5A"/>
    <w:rsid w:val="04E17E90"/>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C82C95"/>
    <w:rsid w:val="07E04EFC"/>
    <w:rsid w:val="07EC6998"/>
    <w:rsid w:val="081209FA"/>
    <w:rsid w:val="0813553A"/>
    <w:rsid w:val="081B38E6"/>
    <w:rsid w:val="0823473F"/>
    <w:rsid w:val="082C4FE6"/>
    <w:rsid w:val="086329D2"/>
    <w:rsid w:val="088A119C"/>
    <w:rsid w:val="088C017B"/>
    <w:rsid w:val="08AD06EB"/>
    <w:rsid w:val="08DD49AF"/>
    <w:rsid w:val="08F00F9F"/>
    <w:rsid w:val="091C5D20"/>
    <w:rsid w:val="0976295B"/>
    <w:rsid w:val="098E5CC9"/>
    <w:rsid w:val="09921D81"/>
    <w:rsid w:val="099F35F4"/>
    <w:rsid w:val="09A339CE"/>
    <w:rsid w:val="09A60DC8"/>
    <w:rsid w:val="09B11946"/>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E11D3"/>
    <w:rsid w:val="0E25775A"/>
    <w:rsid w:val="0E291C53"/>
    <w:rsid w:val="0E2E4AB8"/>
    <w:rsid w:val="0E431583"/>
    <w:rsid w:val="0E7310BF"/>
    <w:rsid w:val="0EA926E5"/>
    <w:rsid w:val="0EA93008"/>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10034B4"/>
    <w:rsid w:val="1162065F"/>
    <w:rsid w:val="11755C50"/>
    <w:rsid w:val="118714DF"/>
    <w:rsid w:val="119360D6"/>
    <w:rsid w:val="11B32DA0"/>
    <w:rsid w:val="11BA183E"/>
    <w:rsid w:val="11CE6913"/>
    <w:rsid w:val="11DB21A4"/>
    <w:rsid w:val="11E172CB"/>
    <w:rsid w:val="11F052D6"/>
    <w:rsid w:val="11F21CEC"/>
    <w:rsid w:val="120C2549"/>
    <w:rsid w:val="1210526E"/>
    <w:rsid w:val="122B27B2"/>
    <w:rsid w:val="1252488C"/>
    <w:rsid w:val="128778EF"/>
    <w:rsid w:val="12AF7645"/>
    <w:rsid w:val="12B51B83"/>
    <w:rsid w:val="12CB3A8A"/>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4F05FFA"/>
    <w:rsid w:val="1512088F"/>
    <w:rsid w:val="15170DCC"/>
    <w:rsid w:val="152D6E7A"/>
    <w:rsid w:val="155219D3"/>
    <w:rsid w:val="15FE7C46"/>
    <w:rsid w:val="161C14BF"/>
    <w:rsid w:val="16396F4B"/>
    <w:rsid w:val="16436F5A"/>
    <w:rsid w:val="164E1FAB"/>
    <w:rsid w:val="165773C2"/>
    <w:rsid w:val="16A102CE"/>
    <w:rsid w:val="16A52765"/>
    <w:rsid w:val="16E36AB1"/>
    <w:rsid w:val="17133ECE"/>
    <w:rsid w:val="174B2FAF"/>
    <w:rsid w:val="17530D90"/>
    <w:rsid w:val="176818BF"/>
    <w:rsid w:val="178C6BF2"/>
    <w:rsid w:val="17AE2E53"/>
    <w:rsid w:val="17C62E78"/>
    <w:rsid w:val="17CA0823"/>
    <w:rsid w:val="17E267F9"/>
    <w:rsid w:val="17E73651"/>
    <w:rsid w:val="17F52E64"/>
    <w:rsid w:val="17FA5E44"/>
    <w:rsid w:val="18137F71"/>
    <w:rsid w:val="181E0E48"/>
    <w:rsid w:val="181E6360"/>
    <w:rsid w:val="182C56B9"/>
    <w:rsid w:val="18350C44"/>
    <w:rsid w:val="18A6137C"/>
    <w:rsid w:val="18B0756E"/>
    <w:rsid w:val="18D62848"/>
    <w:rsid w:val="18F91C2D"/>
    <w:rsid w:val="18FA3DC4"/>
    <w:rsid w:val="199008F8"/>
    <w:rsid w:val="19AE61A3"/>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7E0D88"/>
    <w:rsid w:val="1B837CF8"/>
    <w:rsid w:val="1BA56199"/>
    <w:rsid w:val="1C1C3FAA"/>
    <w:rsid w:val="1C2B3ECE"/>
    <w:rsid w:val="1C354059"/>
    <w:rsid w:val="1CAA2E7D"/>
    <w:rsid w:val="1D235A85"/>
    <w:rsid w:val="1D2C3287"/>
    <w:rsid w:val="1D3D5D17"/>
    <w:rsid w:val="1D567998"/>
    <w:rsid w:val="1D570900"/>
    <w:rsid w:val="1D6A479E"/>
    <w:rsid w:val="1DB041F5"/>
    <w:rsid w:val="1DB57EDF"/>
    <w:rsid w:val="1DE65257"/>
    <w:rsid w:val="1E162569"/>
    <w:rsid w:val="1E3C794C"/>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047D7C"/>
    <w:rsid w:val="231A399D"/>
    <w:rsid w:val="2371579E"/>
    <w:rsid w:val="241B6079"/>
    <w:rsid w:val="242C4776"/>
    <w:rsid w:val="24415E66"/>
    <w:rsid w:val="247E06E4"/>
    <w:rsid w:val="248553AF"/>
    <w:rsid w:val="249A66FD"/>
    <w:rsid w:val="24AC0236"/>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62E6380"/>
    <w:rsid w:val="26635934"/>
    <w:rsid w:val="26D25598"/>
    <w:rsid w:val="27084E46"/>
    <w:rsid w:val="270C1F17"/>
    <w:rsid w:val="272C4BAB"/>
    <w:rsid w:val="274815F0"/>
    <w:rsid w:val="27483067"/>
    <w:rsid w:val="27537B32"/>
    <w:rsid w:val="276205CD"/>
    <w:rsid w:val="276E51C4"/>
    <w:rsid w:val="27786C5E"/>
    <w:rsid w:val="27D171E0"/>
    <w:rsid w:val="27DC01F1"/>
    <w:rsid w:val="280F0CF1"/>
    <w:rsid w:val="282A264F"/>
    <w:rsid w:val="282F4CB8"/>
    <w:rsid w:val="28553C8E"/>
    <w:rsid w:val="28664823"/>
    <w:rsid w:val="288764EB"/>
    <w:rsid w:val="28EE2E75"/>
    <w:rsid w:val="28FE2370"/>
    <w:rsid w:val="2911326E"/>
    <w:rsid w:val="29177195"/>
    <w:rsid w:val="2928376B"/>
    <w:rsid w:val="29292876"/>
    <w:rsid w:val="294A1318"/>
    <w:rsid w:val="295771E6"/>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C6C6B"/>
    <w:rsid w:val="2AE9690F"/>
    <w:rsid w:val="2B0D6532"/>
    <w:rsid w:val="2B723BF9"/>
    <w:rsid w:val="2B8F5708"/>
    <w:rsid w:val="2BA5399C"/>
    <w:rsid w:val="2C2E2DFC"/>
    <w:rsid w:val="2C3979F2"/>
    <w:rsid w:val="2C6F3579"/>
    <w:rsid w:val="2C784420"/>
    <w:rsid w:val="2C840FE5"/>
    <w:rsid w:val="2CF75313"/>
    <w:rsid w:val="2CFD4546"/>
    <w:rsid w:val="2D145EC5"/>
    <w:rsid w:val="2D2D024C"/>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AF1ED5"/>
    <w:rsid w:val="2FD44032"/>
    <w:rsid w:val="2FD45D99"/>
    <w:rsid w:val="2FF43D8C"/>
    <w:rsid w:val="2FF522D5"/>
    <w:rsid w:val="2FFC71C6"/>
    <w:rsid w:val="30246AF0"/>
    <w:rsid w:val="30313232"/>
    <w:rsid w:val="306D4C14"/>
    <w:rsid w:val="307B5CC3"/>
    <w:rsid w:val="308A4336"/>
    <w:rsid w:val="30B3361E"/>
    <w:rsid w:val="30DD0BAA"/>
    <w:rsid w:val="31044F7C"/>
    <w:rsid w:val="31200851"/>
    <w:rsid w:val="31831750"/>
    <w:rsid w:val="3189778C"/>
    <w:rsid w:val="318D6AD6"/>
    <w:rsid w:val="31AA7543"/>
    <w:rsid w:val="31EA5456"/>
    <w:rsid w:val="31EF1FC4"/>
    <w:rsid w:val="323F00BC"/>
    <w:rsid w:val="32430FFB"/>
    <w:rsid w:val="324700B2"/>
    <w:rsid w:val="33027ECE"/>
    <w:rsid w:val="330D2087"/>
    <w:rsid w:val="330F0153"/>
    <w:rsid w:val="33132CF8"/>
    <w:rsid w:val="3334531C"/>
    <w:rsid w:val="33564484"/>
    <w:rsid w:val="336A3327"/>
    <w:rsid w:val="33713745"/>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824C43"/>
    <w:rsid w:val="398B0B0F"/>
    <w:rsid w:val="39BC591B"/>
    <w:rsid w:val="39C050AD"/>
    <w:rsid w:val="39C64A66"/>
    <w:rsid w:val="39DE7F87"/>
    <w:rsid w:val="3A030663"/>
    <w:rsid w:val="3A193765"/>
    <w:rsid w:val="3A1A726F"/>
    <w:rsid w:val="3A856654"/>
    <w:rsid w:val="3AB301FA"/>
    <w:rsid w:val="3AD354E6"/>
    <w:rsid w:val="3AD81184"/>
    <w:rsid w:val="3AE12B76"/>
    <w:rsid w:val="3B1904CB"/>
    <w:rsid w:val="3B2518DE"/>
    <w:rsid w:val="3B3F22C6"/>
    <w:rsid w:val="3B504FA6"/>
    <w:rsid w:val="3B9A612F"/>
    <w:rsid w:val="3BAB1A67"/>
    <w:rsid w:val="3BBD76F4"/>
    <w:rsid w:val="3BFE4DC9"/>
    <w:rsid w:val="3C064771"/>
    <w:rsid w:val="3C8F2962"/>
    <w:rsid w:val="3CA60B04"/>
    <w:rsid w:val="3CA67A9F"/>
    <w:rsid w:val="3CDD7A17"/>
    <w:rsid w:val="3CF41710"/>
    <w:rsid w:val="3CFC3DEE"/>
    <w:rsid w:val="3D1B4620"/>
    <w:rsid w:val="3D1D2B74"/>
    <w:rsid w:val="3D257C7B"/>
    <w:rsid w:val="3D404AB5"/>
    <w:rsid w:val="3D5F3681"/>
    <w:rsid w:val="3D7309E6"/>
    <w:rsid w:val="3DAA3342"/>
    <w:rsid w:val="3DBC0B10"/>
    <w:rsid w:val="3DD1338A"/>
    <w:rsid w:val="3DF44DD4"/>
    <w:rsid w:val="3E051E67"/>
    <w:rsid w:val="3E1079E4"/>
    <w:rsid w:val="3E133F77"/>
    <w:rsid w:val="3E182457"/>
    <w:rsid w:val="3E3C1720"/>
    <w:rsid w:val="3E86299B"/>
    <w:rsid w:val="3E88008E"/>
    <w:rsid w:val="3E984FE9"/>
    <w:rsid w:val="3EC80CDE"/>
    <w:rsid w:val="3F0062A9"/>
    <w:rsid w:val="3F033412"/>
    <w:rsid w:val="3F0B45B6"/>
    <w:rsid w:val="3F685D87"/>
    <w:rsid w:val="3F7A3AC2"/>
    <w:rsid w:val="3FA3326B"/>
    <w:rsid w:val="3FFD6C8D"/>
    <w:rsid w:val="40191044"/>
    <w:rsid w:val="40A03C96"/>
    <w:rsid w:val="41055DF9"/>
    <w:rsid w:val="411C1395"/>
    <w:rsid w:val="41752CDE"/>
    <w:rsid w:val="4183140B"/>
    <w:rsid w:val="41D05677"/>
    <w:rsid w:val="42016010"/>
    <w:rsid w:val="423729CC"/>
    <w:rsid w:val="423B445B"/>
    <w:rsid w:val="426E3E72"/>
    <w:rsid w:val="428251DB"/>
    <w:rsid w:val="42964435"/>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5104BE6"/>
    <w:rsid w:val="4517434D"/>
    <w:rsid w:val="45436664"/>
    <w:rsid w:val="45EE0BA3"/>
    <w:rsid w:val="45F428E0"/>
    <w:rsid w:val="460F4F06"/>
    <w:rsid w:val="463B5D41"/>
    <w:rsid w:val="464A4562"/>
    <w:rsid w:val="467A1301"/>
    <w:rsid w:val="469D31F6"/>
    <w:rsid w:val="46A3209A"/>
    <w:rsid w:val="46CC6013"/>
    <w:rsid w:val="47292039"/>
    <w:rsid w:val="47386520"/>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9A7ACA"/>
    <w:rsid w:val="49CC5100"/>
    <w:rsid w:val="49F72A00"/>
    <w:rsid w:val="4A111CB3"/>
    <w:rsid w:val="4A4F27DB"/>
    <w:rsid w:val="4A5109D4"/>
    <w:rsid w:val="4A7160FE"/>
    <w:rsid w:val="4ACE2B3F"/>
    <w:rsid w:val="4AF350DE"/>
    <w:rsid w:val="4B223C16"/>
    <w:rsid w:val="4B37566A"/>
    <w:rsid w:val="4B3F5F2B"/>
    <w:rsid w:val="4BB11DA0"/>
    <w:rsid w:val="4BCB614C"/>
    <w:rsid w:val="4BDC5663"/>
    <w:rsid w:val="4C082411"/>
    <w:rsid w:val="4C5D5B32"/>
    <w:rsid w:val="4C63256E"/>
    <w:rsid w:val="4C7A639D"/>
    <w:rsid w:val="4CA77A88"/>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1F277C"/>
    <w:rsid w:val="4F2F4720"/>
    <w:rsid w:val="4F4940D8"/>
    <w:rsid w:val="4F5A1BED"/>
    <w:rsid w:val="4F730D1A"/>
    <w:rsid w:val="4FB05ACA"/>
    <w:rsid w:val="4FBF7ABB"/>
    <w:rsid w:val="4FE23640"/>
    <w:rsid w:val="4FED4605"/>
    <w:rsid w:val="4FFA29D6"/>
    <w:rsid w:val="50023AE7"/>
    <w:rsid w:val="503305EE"/>
    <w:rsid w:val="50561BEF"/>
    <w:rsid w:val="50A32F39"/>
    <w:rsid w:val="50AD2009"/>
    <w:rsid w:val="50BB4726"/>
    <w:rsid w:val="512A5408"/>
    <w:rsid w:val="513151C4"/>
    <w:rsid w:val="518E1E3B"/>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87F56"/>
    <w:rsid w:val="548A3477"/>
    <w:rsid w:val="548D6D6B"/>
    <w:rsid w:val="54AF0073"/>
    <w:rsid w:val="550906E8"/>
    <w:rsid w:val="551B6EF1"/>
    <w:rsid w:val="552160C4"/>
    <w:rsid w:val="55570796"/>
    <w:rsid w:val="557E5EAF"/>
    <w:rsid w:val="55961D9B"/>
    <w:rsid w:val="55A40D83"/>
    <w:rsid w:val="55A51501"/>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E2087"/>
    <w:rsid w:val="58150155"/>
    <w:rsid w:val="586B71C9"/>
    <w:rsid w:val="5889335C"/>
    <w:rsid w:val="58A12453"/>
    <w:rsid w:val="58FA063F"/>
    <w:rsid w:val="590154BD"/>
    <w:rsid w:val="59527B6B"/>
    <w:rsid w:val="596F2E54"/>
    <w:rsid w:val="59956CCF"/>
    <w:rsid w:val="59AF7439"/>
    <w:rsid w:val="59B60181"/>
    <w:rsid w:val="59B907C1"/>
    <w:rsid w:val="59CC251A"/>
    <w:rsid w:val="59E33FF0"/>
    <w:rsid w:val="59EA54F5"/>
    <w:rsid w:val="5A272E2C"/>
    <w:rsid w:val="5A2E2963"/>
    <w:rsid w:val="5A5B4E1E"/>
    <w:rsid w:val="5A607799"/>
    <w:rsid w:val="5A79436A"/>
    <w:rsid w:val="5AC16E62"/>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9C0F66"/>
    <w:rsid w:val="5CB32755"/>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811A98"/>
    <w:rsid w:val="608D3EAD"/>
    <w:rsid w:val="60E03D35"/>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4135F4"/>
    <w:rsid w:val="638239E5"/>
    <w:rsid w:val="63870A62"/>
    <w:rsid w:val="638C3D00"/>
    <w:rsid w:val="63D556A7"/>
    <w:rsid w:val="63DF6526"/>
    <w:rsid w:val="63E10B0C"/>
    <w:rsid w:val="63F024E1"/>
    <w:rsid w:val="63F20007"/>
    <w:rsid w:val="63F3279C"/>
    <w:rsid w:val="640059A5"/>
    <w:rsid w:val="640612C6"/>
    <w:rsid w:val="647A6E52"/>
    <w:rsid w:val="64EE5D8F"/>
    <w:rsid w:val="6500065A"/>
    <w:rsid w:val="651F271D"/>
    <w:rsid w:val="652130C8"/>
    <w:rsid w:val="6537764C"/>
    <w:rsid w:val="653777CF"/>
    <w:rsid w:val="65406262"/>
    <w:rsid w:val="65E578BD"/>
    <w:rsid w:val="661C75BD"/>
    <w:rsid w:val="66581705"/>
    <w:rsid w:val="666A4D62"/>
    <w:rsid w:val="668A5EDC"/>
    <w:rsid w:val="66927680"/>
    <w:rsid w:val="66D06442"/>
    <w:rsid w:val="66DE04FB"/>
    <w:rsid w:val="66ED2371"/>
    <w:rsid w:val="67180D7A"/>
    <w:rsid w:val="6756300A"/>
    <w:rsid w:val="67663F7B"/>
    <w:rsid w:val="6792245C"/>
    <w:rsid w:val="67AC56C6"/>
    <w:rsid w:val="67C25F42"/>
    <w:rsid w:val="67CF623D"/>
    <w:rsid w:val="6801069F"/>
    <w:rsid w:val="680F265C"/>
    <w:rsid w:val="6832131A"/>
    <w:rsid w:val="683E7CBF"/>
    <w:rsid w:val="68511B31"/>
    <w:rsid w:val="687D6CC8"/>
    <w:rsid w:val="68BA7C55"/>
    <w:rsid w:val="68C6580E"/>
    <w:rsid w:val="68C857DA"/>
    <w:rsid w:val="68CA286A"/>
    <w:rsid w:val="68D8569B"/>
    <w:rsid w:val="68E66C0F"/>
    <w:rsid w:val="68EA195C"/>
    <w:rsid w:val="690A7BA1"/>
    <w:rsid w:val="69113DCA"/>
    <w:rsid w:val="69130912"/>
    <w:rsid w:val="69841DF5"/>
    <w:rsid w:val="69CB77D8"/>
    <w:rsid w:val="69D6627D"/>
    <w:rsid w:val="69EB2195"/>
    <w:rsid w:val="69F50851"/>
    <w:rsid w:val="6A323B2C"/>
    <w:rsid w:val="6A524C0E"/>
    <w:rsid w:val="6A615EE7"/>
    <w:rsid w:val="6A6B296C"/>
    <w:rsid w:val="6A9846C4"/>
    <w:rsid w:val="6ABA5648"/>
    <w:rsid w:val="6AC33480"/>
    <w:rsid w:val="6AC56475"/>
    <w:rsid w:val="6B1806CB"/>
    <w:rsid w:val="6B3E7FD6"/>
    <w:rsid w:val="6B453112"/>
    <w:rsid w:val="6B583569"/>
    <w:rsid w:val="6BAA0F42"/>
    <w:rsid w:val="6BAC13E3"/>
    <w:rsid w:val="6C2646D1"/>
    <w:rsid w:val="6C2754DB"/>
    <w:rsid w:val="6C283E6B"/>
    <w:rsid w:val="6C3C5A5C"/>
    <w:rsid w:val="6C5971DA"/>
    <w:rsid w:val="6C5A3FCD"/>
    <w:rsid w:val="6C721C9A"/>
    <w:rsid w:val="6C757A27"/>
    <w:rsid w:val="6C942E03"/>
    <w:rsid w:val="6CA1081C"/>
    <w:rsid w:val="6CB62996"/>
    <w:rsid w:val="6CBF6EF4"/>
    <w:rsid w:val="6CDD1D59"/>
    <w:rsid w:val="6D0418DF"/>
    <w:rsid w:val="6D2D0AA9"/>
    <w:rsid w:val="6D435152"/>
    <w:rsid w:val="6D5A0320"/>
    <w:rsid w:val="6D731B27"/>
    <w:rsid w:val="6D76258B"/>
    <w:rsid w:val="6DA87988"/>
    <w:rsid w:val="6DAC27FB"/>
    <w:rsid w:val="6DB10E69"/>
    <w:rsid w:val="6DBB5FDD"/>
    <w:rsid w:val="6DD72739"/>
    <w:rsid w:val="6DF27E1D"/>
    <w:rsid w:val="6E281028"/>
    <w:rsid w:val="6E7050A9"/>
    <w:rsid w:val="6E7A59CD"/>
    <w:rsid w:val="6E8E4DD0"/>
    <w:rsid w:val="6E9610D2"/>
    <w:rsid w:val="6E9C25A7"/>
    <w:rsid w:val="6EB157E8"/>
    <w:rsid w:val="6ECD36FF"/>
    <w:rsid w:val="6ED1074D"/>
    <w:rsid w:val="6EE87D98"/>
    <w:rsid w:val="6EE92007"/>
    <w:rsid w:val="6F1957D5"/>
    <w:rsid w:val="6F535FB4"/>
    <w:rsid w:val="6F7FCB0B"/>
    <w:rsid w:val="6FA475BA"/>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DB6825"/>
    <w:rsid w:val="71FE04BF"/>
    <w:rsid w:val="72014BAF"/>
    <w:rsid w:val="722132C5"/>
    <w:rsid w:val="7275613E"/>
    <w:rsid w:val="72A04A1F"/>
    <w:rsid w:val="72F24D9D"/>
    <w:rsid w:val="733275F5"/>
    <w:rsid w:val="736D3A66"/>
    <w:rsid w:val="738026E3"/>
    <w:rsid w:val="73A979E7"/>
    <w:rsid w:val="73F31987"/>
    <w:rsid w:val="740A4EF9"/>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93567A"/>
    <w:rsid w:val="76AB5407"/>
    <w:rsid w:val="76D01F34"/>
    <w:rsid w:val="773235C9"/>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A26AF"/>
    <w:rsid w:val="792F0912"/>
    <w:rsid w:val="7974007F"/>
    <w:rsid w:val="79AD10F3"/>
    <w:rsid w:val="7A383D5A"/>
    <w:rsid w:val="7A7C11A9"/>
    <w:rsid w:val="7A895DC7"/>
    <w:rsid w:val="7A8F5DFB"/>
    <w:rsid w:val="7AC47EB7"/>
    <w:rsid w:val="7AC64F5C"/>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6D24C9"/>
    <w:rsid w:val="7C7552A4"/>
    <w:rsid w:val="7C8F2CF0"/>
    <w:rsid w:val="7C9A3D93"/>
    <w:rsid w:val="7CBF0CF5"/>
    <w:rsid w:val="7D3041DA"/>
    <w:rsid w:val="7D3E0BA8"/>
    <w:rsid w:val="7D587C29"/>
    <w:rsid w:val="7D63567A"/>
    <w:rsid w:val="7DBC13C1"/>
    <w:rsid w:val="7DDC570E"/>
    <w:rsid w:val="7E200091"/>
    <w:rsid w:val="7E30031F"/>
    <w:rsid w:val="7E413C0D"/>
    <w:rsid w:val="7E494870"/>
    <w:rsid w:val="7E5F156C"/>
    <w:rsid w:val="7E611589"/>
    <w:rsid w:val="7E730D4D"/>
    <w:rsid w:val="7EE9C774"/>
    <w:rsid w:val="7EF24F07"/>
    <w:rsid w:val="7F270D2A"/>
    <w:rsid w:val="7F3D2AE4"/>
    <w:rsid w:val="7F5A02BC"/>
    <w:rsid w:val="7F5F1397"/>
    <w:rsid w:val="7F6330BA"/>
    <w:rsid w:val="7F6728E9"/>
    <w:rsid w:val="7F757B5A"/>
    <w:rsid w:val="7F792F33"/>
    <w:rsid w:val="7FCC0B4F"/>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qFormat/>
    <w:uiPriority w:val="0"/>
    <w:rPr>
      <w:sz w:val="2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10</Pages>
  <Words>4593</Words>
  <Characters>5002</Characters>
  <Lines>28</Lines>
  <Paragraphs>8</Paragraphs>
  <TotalTime>31</TotalTime>
  <ScaleCrop>false</ScaleCrop>
  <LinksUpToDate>false</LinksUpToDate>
  <CharactersWithSpaces>5055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2024-04-16T00:36:00Z</cp:lastPrinted>
  <dcterms:modified xsi:type="dcterms:W3CDTF">2024-07-02T08:43:00Z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8EA1AA1E90DE4FFB987340AC45651365_13</vt:lpwstr>
  </property>
  <property fmtid="{D5CDD505-2E9C-101B-9397-08002B2CF9AE}" pid="4" name="commondata">
    <vt:lpwstr>eyJoZGlkIjoiMzFkNWY3MDE3M2RiODhiZTRhOWM0N2VmNTEzZWI5MGUifQ==</vt:lpwstr>
  </property>
</Properties>
</file>