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kinsoku/>
        <w:overflowPunct/>
        <w:topLinePunct w:val="0"/>
        <w:autoSpaceDE/>
        <w:autoSpaceDN/>
        <w:bidi w:val="0"/>
        <w:adjustRightInd/>
        <w:snapToGrid/>
        <w:spacing w:line="600" w:lineRule="exact"/>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pPr>
        <w:pStyle w:val="8"/>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lang w:val="en-US" w:eastAsia="zh-CN"/>
        </w:rPr>
      </w:pPr>
      <w:bookmarkStart w:id="0" w:name="_GoBack"/>
      <w:r>
        <w:rPr>
          <w:rFonts w:hint="eastAsia" w:ascii="方正小标宋简体" w:hAnsi="方正小标宋简体" w:eastAsia="方正小标宋简体" w:cs="方正小标宋简体"/>
          <w:sz w:val="40"/>
          <w:szCs w:val="40"/>
          <w:lang w:val="en-US" w:eastAsia="zh-CN"/>
        </w:rPr>
        <w:t>2024年深圳市知识产权金融典型案例清单</w:t>
      </w:r>
      <w:bookmarkEnd w:id="0"/>
    </w:p>
    <w:p>
      <w:pPr>
        <w:pStyle w:val="8"/>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086"/>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top"/>
          </w:tcPr>
          <w:p>
            <w:pPr>
              <w:pStyle w:val="8"/>
              <w:pageBreakBefore w:val="0"/>
              <w:kinsoku/>
              <w:overflowPunct/>
              <w:topLinePunct w:val="0"/>
              <w:autoSpaceDE/>
              <w:autoSpaceDN/>
              <w:bidi w:val="0"/>
              <w:adjustRightInd/>
              <w:snapToGrid/>
              <w:spacing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案例编号</w:t>
            </w:r>
          </w:p>
        </w:tc>
        <w:tc>
          <w:tcPr>
            <w:tcW w:w="3253"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案例名称</w:t>
            </w:r>
          </w:p>
        </w:tc>
        <w:tc>
          <w:tcPr>
            <w:tcW w:w="9398"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案例摘要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253" w:type="dxa"/>
            <w:noWrap w:val="0"/>
            <w:vAlign w:val="center"/>
          </w:tcPr>
          <w:p>
            <w:pPr>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宝安区“四个一”工作机制推动知识产权金融提质增效</w:t>
            </w:r>
          </w:p>
        </w:tc>
        <w:tc>
          <w:tcPr>
            <w:tcW w:w="9398" w:type="dxa"/>
            <w:noWrap w:val="0"/>
            <w:vAlign w:val="center"/>
          </w:tcPr>
          <w:p>
            <w:pPr>
              <w:pStyle w:val="8"/>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宝安区实施“一个窗口、一套标准、一张清单、一个平台”的“四个一”工作机制，深度整合资源、重塑服务流程，全面提升区域知识产权金融服务效能，深度激发企业知识产权高效益转化运用活力。2024年宝安区专利</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商标质押惠及企业435家次，全市占比21.2%；登记金额达98.4亿元，同比增长140.7%，连续两年实现翻番</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253" w:type="dxa"/>
            <w:noWrap w:val="0"/>
            <w:vAlign w:val="center"/>
          </w:tcPr>
          <w:p>
            <w:pPr>
              <w:pStyle w:val="8"/>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南山区构建知识产权金融服务体系，多元产品激发知识产权新活力</w:t>
            </w:r>
          </w:p>
        </w:tc>
        <w:tc>
          <w:tcPr>
            <w:tcW w:w="9398" w:type="dxa"/>
            <w:noWrap w:val="0"/>
            <w:vAlign w:val="center"/>
          </w:tcPr>
          <w:p>
            <w:pPr>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南山区</w:t>
            </w:r>
            <w:r>
              <w:rPr>
                <w:rFonts w:hint="eastAsia" w:ascii="仿宋_GB2312" w:hAnsi="仿宋_GB2312" w:eastAsia="仿宋_GB2312" w:cs="仿宋_GB2312"/>
                <w:sz w:val="28"/>
                <w:szCs w:val="28"/>
                <w:lang w:val="en-US" w:eastAsia="zh-CN"/>
              </w:rPr>
              <w:t>通过</w:t>
            </w:r>
            <w:r>
              <w:rPr>
                <w:rFonts w:hint="eastAsia" w:ascii="仿宋_GB2312" w:hAnsi="仿宋_GB2312" w:eastAsia="仿宋_GB2312" w:cs="仿宋_GB2312"/>
                <w:sz w:val="28"/>
                <w:szCs w:val="28"/>
              </w:rPr>
              <w:t>优化知识产权质押融资绿色通道，深化“政银保担”合作，</w:t>
            </w:r>
            <w:r>
              <w:rPr>
                <w:rFonts w:hint="eastAsia" w:ascii="仿宋_GB2312" w:hAnsi="仿宋_GB2312" w:eastAsia="仿宋_GB2312" w:cs="仿宋_GB2312"/>
                <w:sz w:val="28"/>
                <w:szCs w:val="28"/>
                <w:lang w:val="en-US" w:eastAsia="zh-CN"/>
              </w:rPr>
              <w:t>加强政策引导。</w:t>
            </w:r>
            <w:r>
              <w:rPr>
                <w:rFonts w:hint="eastAsia" w:ascii="仿宋_GB2312" w:hAnsi="仿宋_GB2312" w:eastAsia="仿宋_GB2312" w:cs="仿宋_GB2312"/>
                <w:sz w:val="28"/>
                <w:szCs w:val="28"/>
              </w:rPr>
              <w:t>发行全国首个碳资产证券化产品及多期专题产品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推出全国首款商业秘密维权费用补偿保险和海外知识产权维权败诉保险，形成“保险+服务”新模式。</w:t>
            </w:r>
            <w:r>
              <w:rPr>
                <w:rFonts w:hint="eastAsia" w:ascii="仿宋_GB2312" w:hAnsi="仿宋_GB2312" w:eastAsia="仿宋_GB2312" w:cs="仿宋_GB2312"/>
                <w:sz w:val="28"/>
                <w:szCs w:val="28"/>
                <w:lang w:val="en-US" w:eastAsia="zh-CN"/>
              </w:rPr>
              <w:t>通过鼓励多元产品创新，</w:t>
            </w:r>
            <w:r>
              <w:rPr>
                <w:rFonts w:hint="default" w:ascii="仿宋_GB2312" w:hAnsi="仿宋_GB2312" w:eastAsia="仿宋_GB2312" w:cs="仿宋_GB2312"/>
                <w:sz w:val="28"/>
                <w:szCs w:val="28"/>
                <w:lang w:val="en-US" w:eastAsia="zh-CN"/>
              </w:rPr>
              <w:t>实施</w:t>
            </w:r>
            <w:r>
              <w:rPr>
                <w:rFonts w:hint="eastAsia" w:ascii="仿宋_GB2312" w:hAnsi="仿宋_GB2312" w:eastAsia="仿宋_GB2312" w:cs="仿宋_GB2312"/>
                <w:sz w:val="28"/>
                <w:szCs w:val="28"/>
              </w:rPr>
              <w:t>精准政策支持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推动知识产权金融</w:t>
            </w:r>
            <w:r>
              <w:rPr>
                <w:rFonts w:hint="eastAsia" w:ascii="仿宋_GB2312" w:hAnsi="仿宋_GB2312" w:eastAsia="仿宋_GB2312" w:cs="仿宋_GB2312"/>
                <w:sz w:val="28"/>
                <w:szCs w:val="28"/>
                <w:lang w:val="en-US" w:eastAsia="zh-CN"/>
              </w:rPr>
              <w:t>成为</w:t>
            </w:r>
            <w:r>
              <w:rPr>
                <w:rFonts w:hint="eastAsia" w:ascii="仿宋_GB2312" w:hAnsi="仿宋_GB2312" w:eastAsia="仿宋_GB2312" w:cs="仿宋_GB2312"/>
                <w:sz w:val="28"/>
                <w:szCs w:val="28"/>
              </w:rPr>
              <w:t>服务实体经济的关键。2024年南山区专利及商标质押登记金额138.02亿元，</w:t>
            </w:r>
            <w:r>
              <w:rPr>
                <w:rFonts w:hint="eastAsia" w:ascii="仿宋_GB2312" w:hAnsi="仿宋_GB2312" w:eastAsia="仿宋_GB2312" w:cs="仿宋_GB2312"/>
                <w:sz w:val="28"/>
                <w:szCs w:val="28"/>
                <w:lang w:val="en-US" w:eastAsia="zh-CN"/>
              </w:rPr>
              <w:t>质押</w:t>
            </w:r>
            <w:r>
              <w:rPr>
                <w:rFonts w:hint="eastAsia" w:ascii="仿宋_GB2312" w:hAnsi="仿宋_GB2312" w:eastAsia="仿宋_GB2312" w:cs="仿宋_GB2312"/>
                <w:sz w:val="28"/>
                <w:szCs w:val="28"/>
              </w:rPr>
              <w:t>登记笔数586笔，分别同比增长35.63%、70.85%，惠及企业434家</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253" w:type="dxa"/>
            <w:noWrap w:val="0"/>
            <w:vAlign w:val="center"/>
          </w:tcPr>
          <w:p>
            <w:pPr>
              <w:pStyle w:val="8"/>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罗湖区多措并举助企业化“知产”为“资产”实现高质量发展</w:t>
            </w:r>
          </w:p>
        </w:tc>
        <w:tc>
          <w:tcPr>
            <w:tcW w:w="9398" w:type="dxa"/>
            <w:noWrap w:val="0"/>
            <w:vAlign w:val="center"/>
          </w:tcPr>
          <w:p>
            <w:pPr>
              <w:pStyle w:val="8"/>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罗湖区构建“部门+金融机构+协会”工作联动机制，通过实施精准政策扶持、搭建银企对接平台、靠前服务上门辅导等举措，持续深化知识产权金融服务，助力企业“知产”变“资产”。2024年，罗湖区专利及商标质押登记金额达50.58亿元，质押登记笔数77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253" w:type="dxa"/>
            <w:noWrap w:val="0"/>
            <w:vAlign w:val="center"/>
          </w:tcPr>
          <w:p>
            <w:pPr>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福田区构建知识产权金融“三位一体”工作机制为科技企业融资赋能</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bidi="ar-SA"/>
              </w:rPr>
              <w:t>福田区通过政府引导、市场运作、机构服务等方式，形成知识产权评估、质押、融资等环节闭环管理，为科技企业提供知识产权融资咨询、方案设计等一站式服务，有效提升融资效率，构建知识产权金融“三位一体”工作机制。2024年</w:t>
            </w:r>
            <w:r>
              <w:rPr>
                <w:rFonts w:hint="eastAsia" w:ascii="仿宋_GB2312" w:hAnsi="仿宋_GB2312" w:eastAsia="仿宋_GB2312" w:cs="仿宋_GB2312"/>
                <w:snapToGrid/>
                <w:kern w:val="2"/>
                <w:sz w:val="28"/>
                <w:szCs w:val="28"/>
                <w:rtl w:val="0"/>
                <w:lang w:val="en-US" w:eastAsia="zh-CN" w:bidi="ar-SA"/>
              </w:rPr>
              <w:t>，福田区实现专利及商标质押融资登记金额139.21亿元，同比增长89.1%，体量全市第一；</w:t>
            </w:r>
            <w:r>
              <w:rPr>
                <w:rFonts w:hint="eastAsia" w:ascii="仿宋_GB2312" w:hAnsi="仿宋_GB2312" w:eastAsia="仿宋_GB2312" w:cs="仿宋_GB2312"/>
                <w:snapToGrid/>
                <w:kern w:val="2"/>
                <w:sz w:val="28"/>
                <w:szCs w:val="28"/>
                <w:lang w:val="en-US" w:eastAsia="zh-CN" w:bidi="ar-SA"/>
              </w:rPr>
              <w:t>发布3支</w:t>
            </w:r>
            <w:r>
              <w:rPr>
                <w:rFonts w:hint="eastAsia" w:ascii="仿宋_GB2312" w:hAnsi="仿宋_GB2312" w:eastAsia="仿宋_GB2312" w:cs="仿宋_GB2312"/>
                <w:snapToGrid/>
                <w:kern w:val="2"/>
                <w:sz w:val="28"/>
                <w:szCs w:val="28"/>
                <w:rtl w:val="0"/>
                <w:lang w:val="en-US" w:eastAsia="zh-CN" w:bidi="ar-SA"/>
              </w:rPr>
              <w:t>规模达5.98亿元的</w:t>
            </w:r>
            <w:r>
              <w:rPr>
                <w:rFonts w:hint="eastAsia" w:ascii="仿宋_GB2312" w:hAnsi="仿宋_GB2312" w:eastAsia="仿宋_GB2312" w:cs="仿宋_GB2312"/>
                <w:snapToGrid/>
                <w:kern w:val="2"/>
                <w:sz w:val="28"/>
                <w:szCs w:val="28"/>
                <w:lang w:val="en-US" w:eastAsia="zh-CN" w:bidi="ar-SA"/>
              </w:rPr>
              <w:t>知识产权证券化产</w:t>
            </w:r>
            <w:r>
              <w:rPr>
                <w:rFonts w:hint="eastAsia" w:ascii="仿宋_GB2312" w:hAnsi="仿宋_GB2312" w:eastAsia="仿宋_GB2312" w:cs="仿宋_GB2312"/>
                <w:snapToGrid/>
                <w:kern w:val="2"/>
                <w:sz w:val="28"/>
                <w:szCs w:val="28"/>
                <w:rtl w:val="0"/>
                <w:lang w:val="en-US" w:eastAsia="zh-CN" w:bidi="ar-SA"/>
              </w:rPr>
              <w:t>品，为辖区231家企业提供融资支持。《深圳市福田区深化深港合作，创新跨境知识产权证券化综合融资模式》入选全国第二批知识产权质押融资典型案例。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253" w:type="dxa"/>
            <w:noWrap w:val="0"/>
            <w:vAlign w:val="center"/>
          </w:tcPr>
          <w:p>
            <w:pPr>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深圳农商银行完善全链条知识产权金融服务，推动知识产权融资规模倍速增长</w:t>
            </w:r>
          </w:p>
        </w:tc>
        <w:tc>
          <w:tcPr>
            <w:tcW w:w="939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napToGrid/>
                <w:kern w:val="2"/>
                <w:sz w:val="28"/>
                <w:szCs w:val="28"/>
                <w:rtl w:val="0"/>
                <w:lang w:val="en-US" w:eastAsia="zh-CN" w:bidi="ar-SA"/>
              </w:rPr>
              <w:t>深圳农商银行开通“即到即审”质押融资绿色评估</w:t>
            </w:r>
            <w:r>
              <w:rPr>
                <w:rFonts w:hint="default" w:ascii="仿宋_GB2312" w:hAnsi="仿宋_GB2312" w:eastAsia="仿宋_GB2312" w:cs="仿宋_GB2312"/>
                <w:snapToGrid/>
                <w:kern w:val="2"/>
                <w:sz w:val="28"/>
                <w:szCs w:val="28"/>
                <w:rtl w:val="0"/>
                <w:lang w:val="en-US" w:eastAsia="zh-CN" w:bidi="ar-SA"/>
              </w:rPr>
              <w:t>通道</w:t>
            </w:r>
            <w:r>
              <w:rPr>
                <w:rFonts w:hint="eastAsia" w:ascii="仿宋_GB2312" w:hAnsi="仿宋_GB2312" w:eastAsia="仿宋_GB2312" w:cs="仿宋_GB2312"/>
                <w:snapToGrid/>
                <w:kern w:val="2"/>
                <w:sz w:val="28"/>
                <w:szCs w:val="28"/>
                <w:rtl w:val="0"/>
                <w:lang w:val="en-US" w:eastAsia="zh-CN" w:bidi="ar-SA"/>
              </w:rPr>
              <w:t>，单设知识产权质押融</w:t>
            </w:r>
            <w:r>
              <w:rPr>
                <w:rFonts w:hint="default" w:ascii="仿宋_GB2312" w:hAnsi="仿宋_GB2312" w:eastAsia="仿宋_GB2312" w:cs="仿宋_GB2312"/>
                <w:snapToGrid/>
                <w:kern w:val="2"/>
                <w:sz w:val="28"/>
                <w:szCs w:val="28"/>
                <w:rtl w:val="0"/>
                <w:lang w:val="en-US" w:eastAsia="zh-CN" w:bidi="ar-SA"/>
              </w:rPr>
              <w:t>资专项激励指标，全面开展知识产权质押登记全流程无纸化办理</w:t>
            </w:r>
            <w:r>
              <w:rPr>
                <w:rFonts w:hint="eastAsia" w:ascii="仿宋_GB2312" w:hAnsi="仿宋_GB2312" w:eastAsia="仿宋_GB2312" w:cs="仿宋_GB2312"/>
                <w:sz w:val="28"/>
                <w:szCs w:val="28"/>
                <w:vertAlign w:val="baseline"/>
                <w:lang w:val="en-US" w:eastAsia="zh-CN"/>
              </w:rPr>
              <w:t>，形成“专业免费评估+绿色审批保障+便捷线上质押”的“一站式”知识产权金融服务体系。2024年，专利及商标质押登记金额达56.62亿元，较去年同比增长138.6%；质押登记笔数597笔，较去年同比增长76.1%，</w:t>
            </w:r>
            <w:r>
              <w:rPr>
                <w:rFonts w:hint="eastAsia" w:ascii="仿宋_GB2312" w:hAnsi="仿宋_GB2312" w:eastAsia="仿宋_GB2312" w:cs="仿宋_GB2312"/>
                <w:b w:val="0"/>
                <w:bCs w:val="0"/>
                <w:caps w:val="0"/>
                <w:kern w:val="2"/>
                <w:sz w:val="28"/>
                <w:szCs w:val="28"/>
                <w:vertAlign w:val="baseline"/>
                <w:lang w:val="en-US" w:eastAsia="zh-CN" w:bidi="ar-SA"/>
              </w:rPr>
              <w:t>位列全市银行机构第一</w:t>
            </w:r>
            <w:r>
              <w:rPr>
                <w:rFonts w:hint="eastAsia" w:ascii="仿宋_GB2312" w:hAnsi="仿宋_GB2312" w:eastAsia="仿宋_GB2312" w:cs="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253" w:type="dxa"/>
            <w:noWrap w:val="0"/>
            <w:vAlign w:val="center"/>
          </w:tcPr>
          <w:p>
            <w:pPr>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兴业银行深圳分行构建以“商行+投行+数字化服务”为依托的知识产权金融服务体系</w:t>
            </w:r>
          </w:p>
        </w:tc>
        <w:tc>
          <w:tcPr>
            <w:tcW w:w="9398" w:type="dxa"/>
            <w:noWrap w:val="0"/>
            <w:vAlign w:val="center"/>
          </w:tcPr>
          <w:p>
            <w:pPr>
              <w:pStyle w:val="8"/>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兴业银行深圳分行创新性地将银行产品与服务围绕企业的知识产权“生命周期”展开，以“商行+投行+数字化服务”为依托，以科技金融生态伙伴体系中“政策链+资本链+创新链”协同机制为突破口，构建科技企业知识产权金融服务体系，促进知识产权企业“技术流”与“资金流”通畅转化、相互催化、相互增值，实现知识产权高效率产业化发展。2024年，专利及商标质押登记金额达40.52亿元，同比增长522%。</w:t>
            </w:r>
          </w:p>
          <w:p>
            <w:pPr>
              <w:pStyle w:val="8"/>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3253" w:type="dxa"/>
            <w:noWrap w:val="0"/>
            <w:vAlign w:val="center"/>
          </w:tcPr>
          <w:p>
            <w:pPr>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招商银行深圳分行扎实做好科技金融大文章，持续强化知识产权金融赋能</w:t>
            </w:r>
          </w:p>
        </w:tc>
        <w:tc>
          <w:tcPr>
            <w:tcW w:w="9398" w:type="dxa"/>
            <w:noWrap w:val="0"/>
            <w:vAlign w:val="center"/>
          </w:tcPr>
          <w:p>
            <w:pPr>
              <w:pStyle w:val="3"/>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aps w:val="0"/>
                <w:kern w:val="2"/>
                <w:sz w:val="28"/>
                <w:szCs w:val="28"/>
                <w:vertAlign w:val="baseline"/>
                <w:lang w:val="en-US" w:eastAsia="zh-CN" w:bidi="ar-SA"/>
              </w:rPr>
            </w:pPr>
            <w:r>
              <w:rPr>
                <w:rFonts w:hint="eastAsia" w:ascii="仿宋_GB2312" w:hAnsi="仿宋_GB2312" w:eastAsia="仿宋_GB2312" w:cs="仿宋_GB2312"/>
                <w:b w:val="0"/>
                <w:bCs w:val="0"/>
                <w:caps w:val="0"/>
                <w:kern w:val="2"/>
                <w:sz w:val="28"/>
                <w:szCs w:val="28"/>
                <w:vertAlign w:val="baseline"/>
                <w:lang w:val="en-US" w:eastAsia="zh-CN" w:bidi="ar-SA"/>
              </w:rPr>
              <w:t>招商银行深圳分行通过大数据技术，结合企业知识产权数据，打造“资质分”科技企业评价模型，并将评价模型深度融入产品创新，形成了独具特色的知识产权金融服务体系，有效破解科技型中小企业“轻资产、无抵押”融资难题。2024年，</w:t>
            </w:r>
            <w:r>
              <w:rPr>
                <w:rFonts w:hint="eastAsia" w:ascii="仿宋_GB2312" w:hAnsi="仿宋_GB2312" w:eastAsia="仿宋_GB2312" w:cs="仿宋_GB2312"/>
                <w:b w:val="0"/>
                <w:bCs w:val="0"/>
                <w:sz w:val="28"/>
                <w:szCs w:val="28"/>
                <w:vertAlign w:val="baseline"/>
                <w:lang w:val="en-US" w:eastAsia="zh-CN"/>
              </w:rPr>
              <w:t>专利及商标质押登记金额</w:t>
            </w:r>
            <w:r>
              <w:rPr>
                <w:rFonts w:hint="eastAsia" w:ascii="仿宋_GB2312" w:hAnsi="仿宋_GB2312" w:eastAsia="仿宋_GB2312" w:cs="仿宋_GB2312"/>
                <w:b w:val="0"/>
                <w:bCs w:val="0"/>
                <w:caps w:val="0"/>
                <w:kern w:val="2"/>
                <w:sz w:val="28"/>
                <w:szCs w:val="28"/>
                <w:vertAlign w:val="baseline"/>
                <w:lang w:val="en-US" w:eastAsia="zh-CN" w:bidi="ar-SA"/>
              </w:rPr>
              <w:t>68.63亿元，质押登记笔数121笔，质押登记金额和笔数均位列全市银行机构第三，金额增长连续两年实现翻番。</w:t>
            </w:r>
          </w:p>
          <w:p>
            <w:pP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3253" w:type="dxa"/>
            <w:noWrap w:val="0"/>
            <w:vAlign w:val="center"/>
          </w:tcPr>
          <w:p>
            <w:pPr>
              <w:pStyle w:val="8"/>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建设银行深圳市分行以“三化”服务模式打造知识产权特色金融服务体系</w:t>
            </w:r>
          </w:p>
        </w:tc>
        <w:tc>
          <w:tcPr>
            <w:tcW w:w="9398" w:type="dxa"/>
            <w:noWrap w:val="0"/>
            <w:vAlign w:val="center"/>
          </w:tcPr>
          <w:p>
            <w:pPr>
              <w:pStyle w:val="8"/>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aps w:val="0"/>
                <w:snapToGrid/>
                <w:kern w:val="2"/>
                <w:sz w:val="28"/>
                <w:szCs w:val="28"/>
                <w:lang w:val="en-US" w:eastAsia="zh-CN" w:bidi="ar-SA"/>
              </w:rPr>
            </w:pPr>
            <w:r>
              <w:rPr>
                <w:rFonts w:hint="eastAsia" w:ascii="仿宋_GB2312" w:hAnsi="仿宋_GB2312" w:eastAsia="仿宋_GB2312" w:cs="仿宋_GB2312"/>
                <w:b w:val="0"/>
                <w:bCs w:val="0"/>
                <w:caps w:val="0"/>
                <w:snapToGrid/>
                <w:kern w:val="2"/>
                <w:sz w:val="28"/>
                <w:szCs w:val="28"/>
                <w:lang w:val="en-US" w:eastAsia="zh-CN" w:bidi="ar-SA"/>
              </w:rPr>
              <w:t>建设银行深圳市分行持续探索平台化、多元化、生态化的“三化”服务模式，打造科技企业数字化融资服务平台，推出以企业科技属性和知识产权价值为核心的专项信贷产品善科贷、科技e贷，首创知识产权质押融资内部评估方法，落地全国首笔大中型数据资产质押融资业务，着力解决中小微科技企业“轻资产”“高知产”融资难题。2024年，</w:t>
            </w:r>
            <w:r>
              <w:rPr>
                <w:rFonts w:hint="eastAsia" w:ascii="仿宋_GB2312" w:hAnsi="仿宋_GB2312" w:eastAsia="仿宋_GB2312" w:cs="仿宋_GB2312"/>
                <w:b w:val="0"/>
                <w:bCs w:val="0"/>
                <w:sz w:val="28"/>
                <w:szCs w:val="28"/>
                <w:vertAlign w:val="baseline"/>
                <w:lang w:val="en-US" w:eastAsia="zh-CN"/>
              </w:rPr>
              <w:t>专利及商标质押登记金额</w:t>
            </w:r>
            <w:r>
              <w:rPr>
                <w:rFonts w:hint="eastAsia" w:ascii="仿宋_GB2312" w:hAnsi="仿宋_GB2312" w:eastAsia="仿宋_GB2312" w:cs="仿宋_GB2312"/>
                <w:b w:val="0"/>
                <w:bCs w:val="0"/>
                <w:caps w:val="0"/>
                <w:snapToGrid/>
                <w:kern w:val="2"/>
                <w:sz w:val="28"/>
                <w:szCs w:val="28"/>
                <w:lang w:val="en-US" w:eastAsia="zh-CN" w:bidi="ar-SA"/>
              </w:rPr>
              <w:t>82.24亿元，</w:t>
            </w:r>
            <w:r>
              <w:rPr>
                <w:rFonts w:hint="eastAsia" w:ascii="仿宋_GB2312" w:hAnsi="仿宋_GB2312" w:eastAsia="仿宋_GB2312" w:cs="仿宋_GB2312"/>
                <w:b w:val="0"/>
                <w:bCs w:val="0"/>
                <w:caps w:val="0"/>
                <w:kern w:val="2"/>
                <w:sz w:val="28"/>
                <w:szCs w:val="28"/>
                <w:vertAlign w:val="baseline"/>
                <w:lang w:val="en-US" w:eastAsia="zh-CN" w:bidi="ar-SA"/>
              </w:rPr>
              <w:t>位列全市银行机构第一</w:t>
            </w:r>
            <w:r>
              <w:rPr>
                <w:rFonts w:hint="eastAsia" w:ascii="仿宋_GB2312" w:hAnsi="仿宋_GB2312" w:eastAsia="仿宋_GB2312" w:cs="仿宋_GB2312"/>
                <w:b w:val="0"/>
                <w:bCs w:val="0"/>
                <w:caps w:val="0"/>
                <w:snapToGrid/>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3253" w:type="dxa"/>
            <w:noWrap w:val="0"/>
            <w:vAlign w:val="center"/>
          </w:tcPr>
          <w:p>
            <w:pPr>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交通银行深圳分行落地全国首单气候友好型知识产权质押贷款</w:t>
            </w:r>
          </w:p>
        </w:tc>
        <w:tc>
          <w:tcPr>
            <w:tcW w:w="9398" w:type="dxa"/>
            <w:noWrap w:val="0"/>
            <w:vAlign w:val="center"/>
          </w:tcPr>
          <w:p>
            <w:pPr>
              <w:pStyle w:val="8"/>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交通银行深圳分行在福田区政府的指导下，联合国任财险、福田融担共同建立“政府+银行+保险+担保”四方合作机制，以知识产权质押融资产品为切入点，设计分层分类额度，提供“银保担”三方分别给予信用、知识产权质押保证保险、单笔担保的风险分担组合模式，落地全国首单气候友好型</w:t>
            </w:r>
            <w:r>
              <w:rPr>
                <w:rFonts w:ascii="仿宋_GB2312" w:hAnsi="仿宋_GB2312" w:eastAsia="仿宋_GB2312" w:cs="仿宋_GB2312"/>
                <w:i w:val="0"/>
                <w:iCs w:val="0"/>
                <w:caps w:val="0"/>
                <w:spacing w:val="0"/>
                <w:sz w:val="28"/>
                <w:szCs w:val="28"/>
                <w:shd w:val="clear" w:color="auto" w:fill="auto"/>
              </w:rPr>
              <w:t>企业</w:t>
            </w:r>
            <w:r>
              <w:rPr>
                <w:rFonts w:hint="eastAsia" w:ascii="仿宋_GB2312" w:hAnsi="仿宋_GB2312" w:eastAsia="仿宋_GB2312" w:cs="仿宋_GB2312"/>
                <w:sz w:val="28"/>
                <w:szCs w:val="28"/>
                <w:vertAlign w:val="baseline"/>
                <w:lang w:val="en-US" w:eastAsia="zh-CN"/>
              </w:rPr>
              <w:t>知识产权质押贷款，有效解决了初创期企业自身实力弱、研发投入大、银行凭借信用无法有效满足其经营所需资金等问题，为新兴行业金融服务创新</w:t>
            </w:r>
            <w:r>
              <w:rPr>
                <w:rFonts w:ascii="仿宋_GB2312" w:hAnsi="仿宋_GB2312" w:eastAsia="仿宋_GB2312" w:cs="仿宋_GB2312"/>
                <w:i w:val="0"/>
                <w:iCs w:val="0"/>
                <w:caps w:val="0"/>
                <w:spacing w:val="0"/>
                <w:sz w:val="28"/>
                <w:szCs w:val="28"/>
                <w:shd w:val="clear" w:color="auto" w:fill="auto"/>
              </w:rPr>
              <w:t>做出有益探索</w:t>
            </w:r>
            <w:r>
              <w:rPr>
                <w:rFonts w:hint="eastAsia" w:ascii="仿宋_GB2312" w:hAnsi="仿宋_GB2312" w:eastAsia="仿宋_GB2312" w:cs="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3253" w:type="dxa"/>
            <w:noWrap w:val="0"/>
            <w:vAlign w:val="center"/>
          </w:tcPr>
          <w:p>
            <w:pPr>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工商银行深圳市分行引领跨境知识产权金融服务创新，助力深港科技金融再上新高度</w:t>
            </w:r>
          </w:p>
        </w:tc>
        <w:tc>
          <w:tcPr>
            <w:tcW w:w="9398" w:type="dxa"/>
            <w:noWrap w:val="0"/>
            <w:vAlign w:val="center"/>
          </w:tcPr>
          <w:p>
            <w:pPr>
              <w:pStyle w:val="8"/>
              <w:pageBreakBefore w:val="0"/>
              <w:kinsoku/>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工商银行深圳市分行</w:t>
            </w:r>
            <w:r>
              <w:rPr>
                <w:rFonts w:hint="eastAsia" w:ascii="仿宋_GB2312" w:hAnsi="仿宋_GB2312" w:eastAsia="仿宋_GB2312" w:cs="仿宋_GB2312"/>
                <w:sz w:val="28"/>
                <w:szCs w:val="28"/>
                <w:vertAlign w:val="baseline"/>
                <w:lang w:val="en-US" w:eastAsia="zh-CN"/>
              </w:rPr>
              <w:t>依托河套深圳园区</w:t>
            </w:r>
            <w:r>
              <w:rPr>
                <w:rFonts w:hint="default" w:ascii="仿宋_GB2312" w:hAnsi="仿宋_GB2312" w:eastAsia="仿宋_GB2312" w:cs="仿宋_GB2312"/>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针对港资企业拓展境内市场的融资难题，落地全省首笔跨境知识产权质押融资业务，联合工银亚洲、中国（南方）知识产权运营中心等境内外机构首创“知识产权在岸质押+跨境反担保+资本项下外债流通”的“N+1”跨境知识产权证券化模式，成功探索出跨境知识产权质押融资和证券化模式，</w:t>
            </w:r>
            <w:r>
              <w:rPr>
                <w:rFonts w:hint="default" w:ascii="仿宋_GB2312" w:hAnsi="仿宋_GB2312" w:eastAsia="仿宋_GB2312" w:cs="仿宋_GB2312"/>
                <w:kern w:val="2"/>
                <w:sz w:val="28"/>
                <w:szCs w:val="28"/>
                <w:vertAlign w:val="baseline"/>
                <w:lang w:val="en-US" w:eastAsia="zh-CN" w:bidi="ar-SA"/>
              </w:rPr>
              <w:t>跨境知识产权金融</w:t>
            </w:r>
            <w:r>
              <w:rPr>
                <w:rFonts w:hint="eastAsia" w:ascii="仿宋_GB2312" w:hAnsi="仿宋_GB2312" w:eastAsia="仿宋_GB2312" w:cs="仿宋_GB2312"/>
                <w:kern w:val="2"/>
                <w:sz w:val="28"/>
                <w:szCs w:val="28"/>
                <w:vertAlign w:val="baseline"/>
                <w:lang w:val="en-US" w:eastAsia="zh-CN" w:bidi="ar-SA"/>
              </w:rPr>
              <w:t>为企业</w:t>
            </w:r>
            <w:r>
              <w:rPr>
                <w:rFonts w:hint="eastAsia" w:ascii="仿宋_GB2312" w:hAnsi="仿宋_GB2312" w:eastAsia="仿宋_GB2312" w:cs="仿宋_GB2312"/>
                <w:sz w:val="28"/>
                <w:szCs w:val="28"/>
                <w:vertAlign w:val="baseline"/>
                <w:lang w:val="en-US" w:eastAsia="zh-CN"/>
              </w:rPr>
              <w:t>提供了多元化的融资渠道。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3253" w:type="dxa"/>
            <w:noWrap w:val="0"/>
            <w:vAlign w:val="center"/>
          </w:tcPr>
          <w:p>
            <w:pPr>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深圳高新投集团落地深圳首笔数据知识产权参与证券化融资产品</w:t>
            </w:r>
          </w:p>
        </w:tc>
        <w:tc>
          <w:tcPr>
            <w:tcW w:w="9398" w:type="dxa"/>
            <w:noWrap w:val="0"/>
            <w:vAlign w:val="center"/>
          </w:tcPr>
          <w:p>
            <w:pPr>
              <w:pageBreakBefore w:val="0"/>
              <w:kinsoku/>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2"/>
                <w:sz w:val="28"/>
                <w:szCs w:val="28"/>
                <w:vertAlign w:val="baseline"/>
                <w:lang w:val="en-US" w:eastAsia="zh-CN" w:bidi="ar-SA"/>
              </w:rPr>
              <w:t>深圳市高新投集团</w:t>
            </w:r>
            <w:r>
              <w:rPr>
                <w:rFonts w:hint="eastAsia" w:ascii="仿宋_GB2312" w:hAnsi="仿宋_GB2312" w:eastAsia="仿宋_GB2312" w:cs="仿宋_GB2312"/>
                <w:sz w:val="28"/>
                <w:szCs w:val="28"/>
                <w:vertAlign w:val="baseline"/>
                <w:lang w:val="en-US" w:eastAsia="zh-CN"/>
              </w:rPr>
              <w:t>在2024年成功发行</w:t>
            </w:r>
            <w:r>
              <w:rPr>
                <w:rFonts w:hint="default" w:ascii="仿宋_GB2312" w:hAnsi="仿宋_GB2312" w:eastAsia="仿宋_GB2312" w:cs="仿宋_GB2312"/>
                <w:sz w:val="28"/>
                <w:szCs w:val="28"/>
                <w:vertAlign w:val="baseline"/>
                <w:lang w:val="en-US" w:eastAsia="zh-CN"/>
              </w:rPr>
              <w:t>“深圳市知识产权8号</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高新投资产支持专项计划</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专精特新</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，该产品部分</w:t>
            </w:r>
            <w:r>
              <w:rPr>
                <w:rFonts w:hint="default" w:ascii="仿宋_GB2312" w:hAnsi="仿宋_GB2312" w:eastAsia="仿宋_GB2312" w:cs="仿宋_GB2312"/>
                <w:sz w:val="28"/>
                <w:szCs w:val="28"/>
                <w:vertAlign w:val="baseline"/>
                <w:lang w:val="en-US" w:eastAsia="zh-CN"/>
              </w:rPr>
              <w:t>入池企业以其合法拥有并取得数据知识产权登记证书的数据知识产权作为质押物参与到知识产权证券化产品中获得融资，并在深圳市标准技术研究院的支持下完成了数据知识产权的质押备案</w:t>
            </w:r>
            <w:r>
              <w:rPr>
                <w:rFonts w:hint="eastAsia" w:ascii="仿宋_GB2312" w:hAnsi="仿宋_GB2312" w:eastAsia="仿宋_GB2312" w:cs="仿宋_GB2312"/>
                <w:sz w:val="28"/>
                <w:szCs w:val="28"/>
                <w:vertAlign w:val="baseline"/>
                <w:lang w:val="en-US" w:eastAsia="zh-CN"/>
              </w:rPr>
              <w:t>。这是</w:t>
            </w:r>
            <w:r>
              <w:rPr>
                <w:rFonts w:hint="eastAsia" w:ascii="仿宋_GB2312" w:hAnsi="仿宋_GB2312" w:eastAsia="仿宋_GB2312" w:cs="仿宋_GB2312"/>
                <w:kern w:val="2"/>
                <w:sz w:val="28"/>
                <w:szCs w:val="28"/>
                <w:vertAlign w:val="baseline"/>
                <w:lang w:val="en-US" w:eastAsia="zh-CN" w:bidi="ar-SA"/>
              </w:rPr>
              <w:t>深圳首笔数据知识产权参与证券化融资产品，</w:t>
            </w:r>
            <w:r>
              <w:rPr>
                <w:rFonts w:hint="eastAsia" w:ascii="仿宋_GB2312" w:hAnsi="仿宋_GB2312" w:eastAsia="仿宋_GB2312" w:cs="仿宋_GB2312"/>
                <w:sz w:val="28"/>
                <w:szCs w:val="28"/>
                <w:vertAlign w:val="baseline"/>
                <w:lang w:val="en-US" w:eastAsia="zh-CN"/>
              </w:rPr>
              <w:t>具有基层结构创新、担保模式创新、产品设计创新、质押物创新等亮点，推动</w:t>
            </w:r>
            <w:r>
              <w:rPr>
                <w:rFonts w:hint="default" w:ascii="仿宋_GB2312" w:hAnsi="仿宋_GB2312" w:eastAsia="仿宋_GB2312" w:cs="仿宋_GB2312"/>
                <w:sz w:val="28"/>
                <w:szCs w:val="28"/>
                <w:vertAlign w:val="baseline"/>
                <w:lang w:val="en-US" w:eastAsia="zh-CN"/>
              </w:rPr>
              <w:t>深圳数据知识产权试点工作取得</w:t>
            </w:r>
            <w:r>
              <w:rPr>
                <w:rFonts w:hint="eastAsia" w:ascii="仿宋_GB2312" w:hAnsi="仿宋_GB2312" w:eastAsia="仿宋_GB2312" w:cs="仿宋_GB2312"/>
                <w:sz w:val="28"/>
                <w:szCs w:val="28"/>
                <w:vertAlign w:val="baseline"/>
                <w:lang w:val="en-US" w:eastAsia="zh-CN"/>
              </w:rPr>
              <w:t>新</w:t>
            </w:r>
            <w:r>
              <w:rPr>
                <w:rFonts w:hint="default" w:ascii="仿宋_GB2312" w:hAnsi="仿宋_GB2312" w:eastAsia="仿宋_GB2312" w:cs="仿宋_GB2312"/>
                <w:sz w:val="28"/>
                <w:szCs w:val="28"/>
                <w:vertAlign w:val="baseline"/>
                <w:lang w:val="en-US" w:eastAsia="zh-CN"/>
              </w:rPr>
              <w:t>突破，更为促进企业数据要素的交易流转和市场化进程注入了新的活力。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noWrap w:val="0"/>
            <w:vAlign w:val="center"/>
          </w:tcPr>
          <w:p>
            <w:pPr>
              <w:pStyle w:val="8"/>
              <w:pageBreakBefore w:val="0"/>
              <w:kinsoku/>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3253" w:type="dxa"/>
            <w:noWrap w:val="0"/>
            <w:vAlign w:val="center"/>
          </w:tcPr>
          <w:p>
            <w:pPr>
              <w:pageBreakBefore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国任保险落地全国首单海外知识产权维权法律费用保险</w:t>
            </w:r>
          </w:p>
        </w:tc>
        <w:tc>
          <w:tcPr>
            <w:tcW w:w="9398" w:type="dxa"/>
            <w:noWrap w:val="0"/>
            <w:vAlign w:val="center"/>
          </w:tcPr>
          <w:p>
            <w:pPr>
              <w:pStyle w:val="8"/>
              <w:pageBreakBefore w:val="0"/>
              <w:kinsoku/>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国任保险从“出海”企业实际需求出发</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抓住跨境电商企业维权难的痛点，整合“保险+服务</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资源</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与</w:t>
            </w:r>
            <w:r>
              <w:rPr>
                <w:rFonts w:hint="eastAsia" w:ascii="仿宋_GB2312" w:hAnsi="仿宋_GB2312" w:eastAsia="仿宋_GB2312" w:cs="仿宋_GB2312"/>
                <w:sz w:val="28"/>
                <w:szCs w:val="28"/>
                <w:vertAlign w:val="baseline"/>
                <w:lang w:val="en-US" w:eastAsia="zh-CN"/>
              </w:rPr>
              <w:t>行业组织</w:t>
            </w:r>
            <w:r>
              <w:rPr>
                <w:rFonts w:hint="default" w:ascii="仿宋_GB2312" w:hAnsi="仿宋_GB2312" w:eastAsia="仿宋_GB2312" w:cs="仿宋_GB2312"/>
                <w:sz w:val="28"/>
                <w:szCs w:val="28"/>
                <w:vertAlign w:val="baseline"/>
                <w:lang w:val="en-US" w:eastAsia="zh-CN"/>
              </w:rPr>
              <w:t>共同开发、搭建跨境电商涉外法律服务平台</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镖计划</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为跨境电商提供“保险+海外法律服务”的全流程海外知识产权维权诉讼服务</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量身打造海外</w:t>
            </w:r>
            <w:r>
              <w:rPr>
                <w:rFonts w:hint="eastAsia" w:ascii="仿宋_GB2312" w:hAnsi="仿宋_GB2312" w:eastAsia="仿宋_GB2312" w:cs="仿宋_GB2312"/>
                <w:sz w:val="28"/>
                <w:szCs w:val="28"/>
                <w:vertAlign w:val="baseline"/>
                <w:lang w:val="en-US" w:eastAsia="zh-CN"/>
              </w:rPr>
              <w:t>知识产权</w:t>
            </w:r>
            <w:r>
              <w:rPr>
                <w:rFonts w:hint="default" w:ascii="仿宋_GB2312" w:hAnsi="仿宋_GB2312" w:eastAsia="仿宋_GB2312" w:cs="仿宋_GB2312"/>
                <w:sz w:val="28"/>
                <w:szCs w:val="28"/>
                <w:vertAlign w:val="baseline"/>
                <w:lang w:val="en-US" w:eastAsia="zh-CN"/>
              </w:rPr>
              <w:t>维权</w:t>
            </w:r>
            <w:r>
              <w:rPr>
                <w:rFonts w:hint="eastAsia" w:ascii="仿宋_GB2312" w:hAnsi="仿宋_GB2312" w:eastAsia="仿宋_GB2312" w:cs="仿宋_GB2312"/>
                <w:sz w:val="28"/>
                <w:szCs w:val="28"/>
                <w:vertAlign w:val="baseline"/>
                <w:lang w:val="en-US" w:eastAsia="zh-CN"/>
              </w:rPr>
              <w:t>法律费用</w:t>
            </w:r>
            <w:r>
              <w:rPr>
                <w:rFonts w:hint="default" w:ascii="仿宋_GB2312" w:hAnsi="仿宋_GB2312" w:eastAsia="仿宋_GB2312" w:cs="仿宋_GB2312"/>
                <w:sz w:val="28"/>
                <w:szCs w:val="28"/>
                <w:vertAlign w:val="baseline"/>
                <w:lang w:val="en-US" w:eastAsia="zh-CN"/>
              </w:rPr>
              <w:t>险</w:t>
            </w:r>
            <w:r>
              <w:rPr>
                <w:rFonts w:hint="eastAsia" w:ascii="仿宋_GB2312" w:hAnsi="仿宋_GB2312" w:eastAsia="仿宋_GB2312" w:cs="仿宋_GB2312"/>
                <w:sz w:val="28"/>
                <w:szCs w:val="28"/>
                <w:vertAlign w:val="baseline"/>
                <w:lang w:val="en-US" w:eastAsia="zh-CN"/>
              </w:rPr>
              <w:t>，以低</w:t>
            </w:r>
            <w:r>
              <w:rPr>
                <w:rFonts w:hint="default" w:ascii="仿宋_GB2312" w:hAnsi="仿宋_GB2312" w:eastAsia="仿宋_GB2312" w:cs="仿宋_GB2312"/>
                <w:sz w:val="28"/>
                <w:szCs w:val="28"/>
                <w:vertAlign w:val="baseline"/>
                <w:lang w:val="en-US" w:eastAsia="zh-CN"/>
              </w:rPr>
              <w:t>成本启动海外知识产权维权诉讼，助力出海企业维权诉讼走出去，维护中国企业在海外的知识产权正当权利。</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A7AE"/>
    <w:rsid w:val="FFFFA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toc 1"/>
    <w:next w:val="1"/>
    <w:qFormat/>
    <w:uiPriority w:val="0"/>
    <w:pPr>
      <w:widowControl w:val="0"/>
      <w:spacing w:before="120" w:after="120"/>
      <w:jc w:val="left"/>
    </w:pPr>
    <w:rPr>
      <w:rFonts w:ascii="Calibri" w:hAnsi="Calibri" w:eastAsia="宋体" w:cs="Times New Roman"/>
      <w:b/>
      <w:bCs/>
      <w:caps/>
      <w:kern w:val="2"/>
      <w:sz w:val="20"/>
      <w:szCs w:val="20"/>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 w:type="paragraph" w:customStyle="1" w:styleId="8">
    <w:name w:val="纯文本1"/>
    <w:unhideWhenUsed/>
    <w:qFormat/>
    <w:uiPriority w:val="0"/>
    <w:pPr>
      <w:widowControl w:val="0"/>
      <w:jc w:val="both"/>
    </w:pPr>
    <w:rPr>
      <w:rFonts w:hint="eastAsia" w:ascii="宋体" w:hAnsi="Courier New"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2025-04-21T15:22:00Z</dcterms:created>
  <dc:creator>WANGQW</dc:creator>
  <cp:lastModifiedBy>WANGQW</cp:lastModifiedBy>
  <dcterms:modified xsi:type="dcterms:W3CDTF">2025-04-21T15:22:34Z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133E3E28DF3FF3D125F2056811AE61B4</vt:lpwstr>
  </property>
</Properties>
</file>