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eastAsia="黑体" w:cs="Times New Roman"/>
          <w:sz w:val="32"/>
          <w:szCs w:val="32"/>
          <w:lang w:val="en-US" w:eastAsia="zh-CN"/>
        </w:rPr>
      </w:pPr>
      <w:r>
        <w:rPr>
          <w:rFonts w:hint="eastAsia" w:ascii="黑体" w:eastAsia="黑体" w:cs="Times New Roman"/>
          <w:sz w:val="32"/>
          <w:szCs w:val="32"/>
          <w:lang w:val="en-US" w:eastAsia="zh-CN"/>
        </w:rPr>
        <w:t>附件</w:t>
      </w:r>
    </w:p>
    <w:p>
      <w:pPr>
        <w:jc w:val="both"/>
        <w:rPr>
          <w:rFonts w:hint="eastAsia" w:ascii="仿宋_GB2312" w:hAnsi="仿宋_GB2312" w:eastAsia="仿宋_GB2312" w:cs="仿宋_GB2312"/>
          <w:sz w:val="32"/>
          <w:szCs w:val="32"/>
          <w:lang w:val="en-US" w:eastAsia="zh-CN"/>
        </w:rPr>
      </w:pPr>
    </w:p>
    <w:p>
      <w:pPr>
        <w:jc w:val="center"/>
        <w:rPr>
          <w:rFonts w:hint="eastAsia" w:ascii="方正公文小标宋" w:hAnsi="方正公文小标宋" w:eastAsia="方正公文小标宋" w:cs="方正公文小标宋"/>
          <w:sz w:val="36"/>
          <w:szCs w:val="44"/>
          <w:vertAlign w:val="superscript"/>
          <w:lang w:val="en-US" w:eastAsia="zh-CN"/>
        </w:rPr>
      </w:pPr>
      <w:bookmarkStart w:id="0" w:name="_GoBack"/>
      <w:r>
        <w:rPr>
          <w:rFonts w:hint="eastAsia" w:ascii="方正公文小标宋" w:hAnsi="方正公文小标宋" w:eastAsia="方正公文小标宋" w:cs="方正公文小标宋"/>
          <w:sz w:val="36"/>
          <w:szCs w:val="44"/>
        </w:rPr>
        <w:t>深圳市知识产权公共服务机构共性服务事项清单</w:t>
      </w:r>
      <w:bookmarkEnd w:id="0"/>
      <w:r>
        <w:rPr>
          <w:rFonts w:hint="eastAsia" w:ascii="方正公文小标宋" w:hAnsi="方正公文小标宋" w:eastAsia="方正公文小标宋" w:cs="方正公文小标宋"/>
          <w:sz w:val="36"/>
          <w:szCs w:val="44"/>
          <w:vertAlign w:val="superscript"/>
          <w:lang w:val="en-US" w:eastAsia="zh-CN"/>
        </w:rPr>
        <w:t>1</w:t>
      </w:r>
    </w:p>
    <w:p>
      <w:pPr>
        <w:pStyle w:val="2"/>
        <w:rPr>
          <w:rFonts w:hint="eastAsia"/>
          <w:lang w:val="en-US" w:eastAsia="zh-CN"/>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98"/>
        <w:gridCol w:w="1921"/>
        <w:gridCol w:w="5980"/>
        <w:gridCol w:w="3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9" w:type="pct"/>
            <w:noWrap w:val="0"/>
            <w:vAlign w:val="center"/>
          </w:tcPr>
          <w:p>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序号</w:t>
            </w:r>
          </w:p>
        </w:tc>
        <w:tc>
          <w:tcPr>
            <w:tcW w:w="564" w:type="pct"/>
            <w:noWrap w:val="0"/>
            <w:vAlign w:val="center"/>
          </w:tcPr>
          <w:p>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服务类别</w:t>
            </w:r>
          </w:p>
        </w:tc>
        <w:tc>
          <w:tcPr>
            <w:tcW w:w="678" w:type="pct"/>
            <w:noWrap w:val="0"/>
            <w:vAlign w:val="center"/>
          </w:tcPr>
          <w:p>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服务名称</w:t>
            </w:r>
          </w:p>
        </w:tc>
        <w:tc>
          <w:tcPr>
            <w:tcW w:w="2111" w:type="pct"/>
            <w:noWrap w:val="0"/>
            <w:vAlign w:val="center"/>
          </w:tcPr>
          <w:p>
            <w:pPr>
              <w:jc w:val="center"/>
              <w:rPr>
                <w:rFonts w:hint="eastAsia"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服务内容</w:t>
            </w:r>
          </w:p>
        </w:tc>
        <w:tc>
          <w:tcPr>
            <w:tcW w:w="1376" w:type="pct"/>
            <w:noWrap w:val="0"/>
            <w:vAlign w:val="center"/>
          </w:tcPr>
          <w:p>
            <w:pPr>
              <w:jc w:val="center"/>
              <w:rPr>
                <w:rFonts w:hint="default" w:ascii="仿宋" w:hAnsi="仿宋" w:eastAsia="仿宋" w:cs="仿宋"/>
                <w:b/>
                <w:bCs/>
                <w:sz w:val="24"/>
                <w:szCs w:val="32"/>
                <w:vertAlign w:val="baseline"/>
                <w:lang w:val="en-US" w:eastAsia="zh-CN"/>
              </w:rPr>
            </w:pPr>
            <w:r>
              <w:rPr>
                <w:rFonts w:hint="eastAsia" w:ascii="仿宋" w:hAnsi="仿宋" w:eastAsia="仿宋" w:cs="仿宋"/>
                <w:b/>
                <w:bCs/>
                <w:sz w:val="24"/>
                <w:szCs w:val="32"/>
                <w:vertAlign w:val="baseline"/>
                <w:lang w:val="en-US" w:eastAsia="zh-CN"/>
              </w:rPr>
              <w:t>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564"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基础性服务</w:t>
            </w:r>
            <w:r>
              <w:rPr>
                <w:rFonts w:hint="eastAsia" w:ascii="仿宋" w:hAnsi="仿宋" w:eastAsia="仿宋" w:cs="仿宋"/>
                <w:b w:val="0"/>
                <w:bCs w:val="0"/>
                <w:sz w:val="24"/>
                <w:szCs w:val="24"/>
                <w:vertAlign w:val="superscript"/>
                <w:lang w:val="en-US" w:eastAsia="zh-CN"/>
              </w:rPr>
              <w:t>2</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知识产权基础检索</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rPr>
            </w:pPr>
            <w:r>
              <w:rPr>
                <w:rFonts w:hint="eastAsia" w:ascii="仿宋" w:hAnsi="仿宋" w:eastAsia="仿宋" w:cs="仿宋"/>
                <w:sz w:val="24"/>
                <w:shd w:val="clear" w:color="auto" w:fill="FFFFFF"/>
              </w:rPr>
              <w:t>为服务对象提供基础性知识产权信息的检索、查询和分析服务，或指导其进行相关操作。</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lang w:val="en-US" w:eastAsia="zh-CN"/>
              </w:rPr>
              <w:t>深圳市标准技术研究院</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深圳市南山区创新发展促进中心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知识产权咨询</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提供知识产权创造、运用、保护、管理、服务全链条相关法律、政策及业务咨询。</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深圳市南山区创新发展促进中心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知识产权文献提供、传递</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根据服务对象需求提供世界范围内单篇或多篇专利申请文本或授权文本。</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lang w:val="en-US" w:eastAsia="zh-CN"/>
              </w:rPr>
              <w:t>深圳市标准技术研究院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深圳市南山区创新发展促进中心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vertAlign w:val="baseline"/>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shd w:val="clear" w:color="auto" w:fill="FFFFFF"/>
              </w:rPr>
              <w:t>知识产权培训及素养教育</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开展知识产权公益培训、讲座等活动，或开设知识产权信息利用课程，普及知识产权基础知识和信息利用分析方法。</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lang w:val="en-US" w:eastAsia="zh-CN"/>
              </w:rPr>
              <w:t>深圳市标准技术研究院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default" w:ascii="仿宋" w:hAnsi="仿宋" w:eastAsia="仿宋" w:cs="仿宋"/>
                <w:sz w:val="24"/>
                <w:shd w:val="clear" w:color="auto" w:fill="FFFFFF"/>
                <w:lang w:val="en-US" w:eastAsia="zh-CN"/>
              </w:rPr>
              <w:t>深圳市南山区创新发展促进中心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知识产权政策宣传</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向社会公众宣传推广知识产权法律、政策等基础知识以及知识产权信息资源及分析利用成果等。</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lang w:val="en-US" w:eastAsia="zh-CN"/>
              </w:rPr>
              <w:t>深圳市标准技术研究院</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深圳市南山区创新发展促进中心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564"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专业化及增值服务</w:t>
            </w:r>
            <w:r>
              <w:rPr>
                <w:rFonts w:hint="eastAsia" w:ascii="仿宋" w:hAnsi="仿宋" w:eastAsia="仿宋" w:cs="仿宋"/>
                <w:b w:val="0"/>
                <w:bCs w:val="0"/>
                <w:kern w:val="2"/>
                <w:sz w:val="24"/>
                <w:szCs w:val="24"/>
                <w:vertAlign w:val="superscript"/>
                <w:lang w:val="en-US" w:eastAsia="zh-CN" w:bidi="ar-SA"/>
              </w:rPr>
              <w:t>3</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Calibri" w:hAnsi="Calibri" w:eastAsia="宋体" w:cs="Times New Roman"/>
                <w:kern w:val="2"/>
                <w:sz w:val="24"/>
                <w:szCs w:val="24"/>
                <w:lang w:val="en-US" w:eastAsia="zh-CN" w:bidi="ar-SA"/>
              </w:rPr>
            </w:pPr>
            <w:r>
              <w:rPr>
                <w:rFonts w:hint="eastAsia" w:ascii="仿宋" w:hAnsi="仿宋" w:eastAsia="仿宋" w:cs="仿宋"/>
                <w:b w:val="0"/>
                <w:bCs w:val="0"/>
                <w:sz w:val="24"/>
                <w:szCs w:val="24"/>
                <w:vertAlign w:val="baseline"/>
                <w:lang w:val="en-US" w:eastAsia="zh-CN"/>
              </w:rPr>
              <w:t>知识产权转化</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提供知识产权开放许可、入股、证券化、价值评估、供需对接、存量专利盘活等咨询对接服务。</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知识产权维权援助</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提供普通咨询或援助服务，包括知识产权法律法规咨询、知识产权法律状态查询、知识产权纠纷解决方式建议等服务。</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海外维权援助</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提供海外知识产权纠纷应对指导，提供应对指导意见等。</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纠纷解决</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eastAsia" w:ascii="CESI仿宋-GB2312" w:hAnsi="CESI仿宋-GB2312" w:eastAsia="CESI仿宋-GB2312" w:cs="CESI仿宋-GB2312"/>
                <w:i w:val="0"/>
                <w:color w:val="auto"/>
                <w:kern w:val="0"/>
                <w:sz w:val="24"/>
                <w:szCs w:val="24"/>
                <w:highlight w:val="none"/>
                <w:u w:val="none"/>
                <w:lang w:val="en-US" w:eastAsia="zh-CN" w:bidi="ar"/>
              </w:rPr>
              <w:t>提供调解、中立评估等服务，帮助社会公众、纠纷当事人通过非诉手段解决知识产权纠纷。</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sz w:val="24"/>
                <w:szCs w:val="24"/>
                <w:vertAlign w:val="baseline"/>
                <w:lang w:val="en-US"/>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专业检索和分析</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提供科技（专利）查新、特定技术检索和分析等服务。</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专利导航</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提供重点产业、重点领域或特定技术专利导航咨询、分析和业务辅导等服务。</w:t>
            </w:r>
          </w:p>
        </w:tc>
        <w:tc>
          <w:tcPr>
            <w:tcW w:w="13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信息预警</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提供知识产权侵权信息监测预警、侵权风险评估、风险应对指导、典型案例发布等服务。</w:t>
            </w:r>
          </w:p>
        </w:tc>
        <w:tc>
          <w:tcPr>
            <w:tcW w:w="13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分析评议</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基于产业/技术创新需求，对专利文献数据进行系统分析，提供风险预警、竞争力定位、研发策略等决策建议，为知识产权战略制定提供科学依据。</w:t>
            </w:r>
          </w:p>
        </w:tc>
        <w:tc>
          <w:tcPr>
            <w:tcW w:w="13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知识产权数据库及工具平台开发</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按需开发知识产权信息分析工具、建设知识产权信息服务平台和专题数据库，并免费或低成本向社会公开使用。</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标准与专利融合辅导</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提供标准和知识产权融合咨询服务，包括企业标准必要专利（SEP）布局策略指导、技术标准与专利协同创新方案设计，标准必要专利识别与预警服务等。</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数据知识产权登记</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提供数据知识产权登记、质押备案服务，为创新主体定制化打造数据知识产权赋能方案，助力企业构建数据安全体系、促进数据资产价值转化。</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专利数据统计与加工</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提供专利数据的统计，可视化分析，及推广应用。</w:t>
            </w:r>
          </w:p>
        </w:tc>
        <w:tc>
          <w:tcPr>
            <w:tcW w:w="13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竞争对手专利情报监测与分析</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根据企业需求，提供特定竞争对手的专利布局动态跟踪、技术路线分析、法律状态预警等服务，定期提供相应数据或生成定制化报告，辅助企业研发决策与风险规避。</w:t>
            </w:r>
          </w:p>
        </w:tc>
        <w:tc>
          <w:tcPr>
            <w:tcW w:w="13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深圳大学知识产权信息服务中心</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 w:hAnsi="仿宋" w:eastAsia="仿宋" w:cs="仿宋"/>
                <w:sz w:val="24"/>
                <w:shd w:val="clear" w:color="auto" w:fill="FFFFFF"/>
              </w:rPr>
            </w:pPr>
            <w:r>
              <w:rPr>
                <w:rFonts w:hint="eastAsia" w:ascii="仿宋" w:hAnsi="仿宋" w:eastAsia="仿宋" w:cs="仿宋"/>
                <w:sz w:val="24"/>
                <w:shd w:val="clear" w:color="auto" w:fill="FFFFFF"/>
              </w:rPr>
              <w:t>深圳大学城图书馆</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lang w:val="en-US" w:eastAsia="zh-CN"/>
              </w:rPr>
            </w:pPr>
            <w:r>
              <w:rPr>
                <w:rFonts w:hint="eastAsia" w:ascii="仿宋" w:hAnsi="仿宋" w:eastAsia="仿宋" w:cs="仿宋"/>
                <w:sz w:val="24"/>
                <w:shd w:val="clear" w:color="auto" w:fill="FFFFFF"/>
                <w:lang w:val="en-US" w:eastAsia="zh-CN"/>
              </w:rPr>
              <w:t>深圳市标准技术研究院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564"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其他</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专利窗口服务</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提供专利申请受理、专利优先审查受理、集成电路布图设计登记申请受理、专利登记簿副本出具、专利实施许可合同备案办理、专利权质押登记办理</w:t>
            </w:r>
            <w:r>
              <w:rPr>
                <w:rFonts w:hint="eastAsia" w:ascii="仿宋" w:hAnsi="仿宋" w:eastAsia="仿宋" w:cs="仿宋"/>
                <w:b w:val="0"/>
                <w:bCs w:val="0"/>
                <w:sz w:val="24"/>
                <w:szCs w:val="24"/>
                <w:vertAlign w:val="baseline"/>
                <w:lang w:val="en-US" w:eastAsia="zh-CN"/>
              </w:rPr>
              <w:t>。</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69" w:type="pc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564"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val="0"/>
                <w:bCs w:val="0"/>
                <w:kern w:val="2"/>
                <w:sz w:val="24"/>
                <w:szCs w:val="24"/>
                <w:vertAlign w:val="baseline"/>
                <w:lang w:val="en-US" w:eastAsia="zh-CN" w:bidi="ar-SA"/>
              </w:rPr>
            </w:pP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商标窗口服务</w:t>
            </w:r>
          </w:p>
        </w:tc>
        <w:tc>
          <w:tcPr>
            <w:tcW w:w="2111"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商标注册申请受理、商标变更申请受理、商标更正申请受理、注册商标转让或移转申请受理、注册商标续展申请受理、注册商标使用许可备案申请受理。</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 w:hAnsi="仿宋" w:eastAsia="仿宋" w:cs="仿宋"/>
                <w:sz w:val="24"/>
                <w:shd w:val="clear" w:color="auto" w:fill="FFFFFF"/>
                <w:lang w:val="en-US" w:eastAsia="zh-CN"/>
              </w:rPr>
            </w:pPr>
            <w:r>
              <w:rPr>
                <w:rFonts w:hint="default" w:ascii="仿宋" w:hAnsi="仿宋" w:eastAsia="仿宋" w:cs="仿宋"/>
                <w:sz w:val="24"/>
                <w:shd w:val="clear" w:color="auto" w:fill="FFFFFF"/>
                <w:lang w:val="en-US" w:eastAsia="zh-CN"/>
              </w:rPr>
              <w:t>中国（深圳）知识产权保护中心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000" w:type="pct"/>
            <w:gridSpan w:val="5"/>
            <w:noWrap w:val="0"/>
            <w:vAlign w:val="center"/>
          </w:tcPr>
          <w:p>
            <w:pPr>
              <w:pStyle w:val="3"/>
              <w:snapToGrid w:val="0"/>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sz w:val="24"/>
                <w:szCs w:val="32"/>
                <w:vertAlign w:val="superscript"/>
                <w:lang w:val="en-US" w:eastAsia="zh-CN"/>
              </w:rPr>
              <w:t>1</w:t>
            </w:r>
            <w:r>
              <w:rPr>
                <w:rFonts w:hint="eastAsia" w:ascii="仿宋" w:hAnsi="仿宋" w:eastAsia="仿宋" w:cs="仿宋"/>
                <w:sz w:val="24"/>
                <w:szCs w:val="32"/>
                <w:lang w:val="en-US" w:eastAsia="zh-CN"/>
              </w:rPr>
              <w:t xml:space="preserve"> </w:t>
            </w:r>
            <w:r>
              <w:rPr>
                <w:rFonts w:hint="eastAsia" w:ascii="仿宋" w:hAnsi="仿宋" w:eastAsia="仿宋" w:cs="仿宋"/>
                <w:i w:val="0"/>
                <w:color w:val="auto"/>
                <w:kern w:val="0"/>
                <w:sz w:val="24"/>
                <w:szCs w:val="24"/>
                <w:highlight w:val="none"/>
                <w:u w:val="none"/>
                <w:lang w:val="en-US" w:eastAsia="zh-CN" w:bidi="ar"/>
              </w:rPr>
              <w:t>本清单内的服务事项面向深圳市辖区范围内的知识产权公共服务机构，为各机构开展服务提供指导。</w:t>
            </w:r>
          </w:p>
          <w:p>
            <w:pPr>
              <w:pStyle w:val="3"/>
              <w:snapToGrid w:val="0"/>
              <w:rPr>
                <w:rFonts w:hint="eastAsia" w:ascii="仿宋" w:hAnsi="仿宋" w:eastAsia="仿宋" w:cs="仿宋"/>
                <w:sz w:val="24"/>
                <w:szCs w:val="32"/>
                <w:vertAlign w:val="baseline"/>
                <w:lang w:val="en-US" w:eastAsia="zh-CN"/>
              </w:rPr>
            </w:pPr>
            <w:r>
              <w:rPr>
                <w:rFonts w:hint="eastAsia" w:ascii="仿宋" w:hAnsi="仿宋" w:eastAsia="仿宋" w:cs="仿宋"/>
                <w:sz w:val="24"/>
                <w:szCs w:val="32"/>
                <w:vertAlign w:val="superscript"/>
                <w:lang w:val="en-US" w:eastAsia="zh-CN"/>
              </w:rPr>
              <w:t xml:space="preserve">2  </w:t>
            </w:r>
            <w:r>
              <w:rPr>
                <w:rFonts w:hint="eastAsia" w:ascii="仿宋" w:hAnsi="仿宋" w:eastAsia="仿宋" w:cs="仿宋"/>
                <w:sz w:val="24"/>
                <w:szCs w:val="32"/>
                <w:vertAlign w:val="baseline"/>
                <w:lang w:val="en-US" w:eastAsia="zh-CN"/>
              </w:rPr>
              <w:t>基础性服务一般为免费服务。</w:t>
            </w:r>
          </w:p>
          <w:p>
            <w:pPr>
              <w:pStyle w:val="3"/>
              <w:snapToGrid w:val="0"/>
              <w:rPr>
                <w:rFonts w:hint="eastAsia" w:ascii="仿宋" w:hAnsi="仿宋" w:eastAsia="仿宋" w:cs="仿宋"/>
                <w:sz w:val="24"/>
                <w:szCs w:val="32"/>
                <w:vertAlign w:val="superscript"/>
                <w:lang w:val="en-US" w:eastAsia="zh-CN"/>
              </w:rPr>
            </w:pPr>
            <w:r>
              <w:rPr>
                <w:rFonts w:hint="eastAsia" w:ascii="仿宋" w:hAnsi="仿宋" w:eastAsia="仿宋" w:cs="仿宋"/>
                <w:sz w:val="24"/>
                <w:szCs w:val="32"/>
                <w:vertAlign w:val="superscript"/>
                <w:lang w:val="en-US" w:eastAsia="zh-CN"/>
              </w:rPr>
              <w:t>3</w:t>
            </w:r>
            <w:r>
              <w:rPr>
                <w:rFonts w:hint="eastAsia" w:ascii="仿宋" w:hAnsi="仿宋" w:eastAsia="仿宋" w:cs="仿宋"/>
                <w:sz w:val="24"/>
                <w:szCs w:val="32"/>
                <w:vertAlign w:val="baseline"/>
                <w:lang w:val="en-US" w:eastAsia="zh-CN"/>
              </w:rPr>
              <w:t xml:space="preserve"> 专业化服务、增值服务可基于服务内容合理收取适当费用。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A770B"/>
    <w:rsid w:val="217429A0"/>
    <w:rsid w:val="29E2564A"/>
    <w:rsid w:val="349B4B52"/>
    <w:rsid w:val="3CBA770B"/>
    <w:rsid w:val="484A4A39"/>
    <w:rsid w:val="4BFA0524"/>
    <w:rsid w:val="5130609D"/>
    <w:rsid w:val="53FF1927"/>
    <w:rsid w:val="556075CE"/>
    <w:rsid w:val="6056396B"/>
    <w:rsid w:val="61840B64"/>
    <w:rsid w:val="623E733C"/>
    <w:rsid w:val="77F75794"/>
    <w:rsid w:val="77FAE40E"/>
    <w:rsid w:val="A57C33D2"/>
    <w:rsid w:val="BDBFFC4F"/>
    <w:rsid w:val="DDFB3891"/>
    <w:rsid w:val="EDFBF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pacing w:line="360" w:lineRule="auto"/>
      <w:ind w:firstLine="510"/>
    </w:pPr>
    <w:rPr>
      <w:sz w:val="24"/>
      <w:szCs w:val="20"/>
    </w:rPr>
  </w:style>
  <w:style w:type="paragraph" w:styleId="3">
    <w:name w:val="endnote text"/>
    <w:basedOn w:val="1"/>
    <w:qFormat/>
    <w:uiPriority w:val="0"/>
    <w:pPr>
      <w:snapToGrid w:val="0"/>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1865</Words>
  <Characters>1878</Characters>
  <Lines>0</Lines>
  <Paragraphs>0</Paragraphs>
  <TotalTime>1</TotalTime>
  <ScaleCrop>false</ScaleCrop>
  <LinksUpToDate>false</LinksUpToDate>
  <CharactersWithSpaces>1882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2025-04-23T04:40:00Z</dcterms:created>
  <dc:creator>王欢欢</dc:creator>
  <cp:lastModifiedBy>WANGQW</cp:lastModifiedBy>
  <dcterms:modified xsi:type="dcterms:W3CDTF">2025-04-27T15:07:36Z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99E344C77B86F166B8D70D68A9CAD038</vt:lpwstr>
  </property>
  <property fmtid="{D5CDD505-2E9C-101B-9397-08002B2CF9AE}" pid="4" name="KSOTemplateDocerSaveRecord">
    <vt:lpwstr>eyJoZGlkIjoiYjhiMDFjYTYzN2FhZjMzNTU5NmIxN2NkMWNlYjM0NDgiLCJ1c2VySWQiOiI2NDQ2Mjg0NjAifQ==</vt:lpwstr>
  </property>
</Properties>
</file>