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79"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beforeLines="0" w:afterLines="0" w:line="579" w:lineRule="exact"/>
        <w:jc w:val="left"/>
        <w:textAlignment w:val="auto"/>
        <w:rPr>
          <w:rFonts w:hint="default" w:ascii="黑体" w:hAnsi="黑体" w:eastAsia="黑体" w:cs="黑体"/>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default" w:ascii="Calibri" w:hAnsi="Calibri" w:eastAsia="宋体" w:cs="Times New Roman"/>
          <w:b w:val="0"/>
          <w:bCs w:val="0"/>
          <w:color w:val="000000"/>
          <w:sz w:val="21"/>
          <w:szCs w:val="22"/>
          <w:lang w:val="en-US" w:eastAsia="zh-CN"/>
        </w:rPr>
      </w:pPr>
      <w:r>
        <w:rPr>
          <w:rFonts w:hint="eastAsia" w:ascii="方正小标宋_GBK" w:hAnsi="方正小标宋_GBK" w:eastAsia="方正小标宋_GBK" w:cs="方正小标宋_GBK"/>
          <w:b w:val="0"/>
          <w:bCs w:val="0"/>
          <w:color w:val="000000"/>
          <w:sz w:val="44"/>
          <w:szCs w:val="44"/>
          <w:lang w:eastAsia="zh-CN"/>
        </w:rPr>
        <w:t>深圳市</w:t>
      </w:r>
      <w:r>
        <w:rPr>
          <w:rFonts w:hint="eastAsia" w:ascii="方正小标宋_GBK" w:hAnsi="方正小标宋_GBK" w:eastAsia="方正小标宋_GBK" w:cs="方正小标宋_GBK"/>
          <w:b w:val="0"/>
          <w:bCs w:val="0"/>
          <w:color w:val="000000"/>
          <w:sz w:val="44"/>
          <w:szCs w:val="44"/>
          <w:lang w:val="en-US" w:eastAsia="zh-CN"/>
        </w:rPr>
        <w:t>2026年</w:t>
      </w:r>
      <w:r>
        <w:rPr>
          <w:rFonts w:hint="eastAsia" w:ascii="方正小标宋_GBK" w:hAnsi="方正小标宋_GBK" w:eastAsia="方正小标宋_GBK" w:cs="方正小标宋_GBK"/>
          <w:b w:val="0"/>
          <w:bCs w:val="0"/>
          <w:color w:val="000000"/>
          <w:sz w:val="44"/>
          <w:szCs w:val="44"/>
          <w:lang w:eastAsia="zh-CN"/>
        </w:rPr>
        <w:t>民生实事</w:t>
      </w:r>
      <w:r>
        <w:rPr>
          <w:rFonts w:hint="eastAsia" w:ascii="方正小标宋_GBK" w:hAnsi="方正小标宋_GBK" w:eastAsia="方正小标宋_GBK" w:cs="方正小标宋_GBK"/>
          <w:color w:val="000000"/>
          <w:sz w:val="44"/>
          <w:szCs w:val="44"/>
          <w:shd w:val="clear" w:color="auto" w:fill="FFFFFF"/>
          <w:lang w:val="en-US" w:eastAsia="zh-CN"/>
        </w:rPr>
        <w:t>候选</w:t>
      </w:r>
      <w:r>
        <w:rPr>
          <w:rFonts w:hint="eastAsia" w:ascii="方正小标宋_GBK" w:hAnsi="方正小标宋_GBK" w:eastAsia="方正小标宋_GBK" w:cs="方正小标宋_GBK"/>
          <w:b w:val="0"/>
          <w:bCs w:val="0"/>
          <w:color w:val="000000"/>
          <w:sz w:val="44"/>
          <w:szCs w:val="44"/>
          <w:lang w:eastAsia="zh-CN"/>
        </w:rPr>
        <w:t>项目申报表</w:t>
      </w:r>
      <w:r>
        <w:rPr>
          <w:rFonts w:hint="eastAsia" w:cs="Times New Roman"/>
          <w:b w:val="0"/>
          <w:bCs w:val="0"/>
          <w:color w:val="000000"/>
          <w:sz w:val="21"/>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200" w:hanging="420" w:hangingChars="150"/>
        <w:jc w:val="left"/>
        <w:textAlignment w:val="auto"/>
        <w:outlineLvl w:val="1"/>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sz w:val="28"/>
          <w:szCs w:val="28"/>
          <w:lang w:eastAsia="zh-CN"/>
        </w:rPr>
        <w:t>填报单位：</w:t>
      </w:r>
      <w:r>
        <w:rPr>
          <w:rFonts w:hint="eastAsia" w:ascii="仿宋_GB2312" w:hAnsi="仿宋_GB2312" w:eastAsia="仿宋_GB2312" w:cs="仿宋_GB2312"/>
          <w:color w:val="000000"/>
          <w:sz w:val="28"/>
          <w:szCs w:val="28"/>
          <w:lang w:val="en-US" w:eastAsia="zh-CN"/>
        </w:rPr>
        <w:t>深圳市市场监督管理局</w:t>
      </w:r>
      <w:r>
        <w:rPr>
          <w:rFonts w:hint="eastAsia" w:ascii="仿宋_GB2312" w:hAnsi="仿宋_GB2312" w:eastAsia="仿宋_GB2312" w:cs="仿宋_GB2312"/>
          <w:b w:val="0"/>
          <w:bCs w:val="0"/>
          <w:color w:val="000000"/>
          <w:sz w:val="28"/>
          <w:szCs w:val="28"/>
          <w:lang w:val="en-US" w:eastAsia="zh-CN"/>
        </w:rPr>
        <w:t xml:space="preserve">           </w:t>
      </w:r>
    </w:p>
    <w:tbl>
      <w:tblPr>
        <w:tblStyle w:val="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4195"/>
        <w:gridCol w:w="197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项目名称</w:t>
            </w:r>
          </w:p>
        </w:tc>
        <w:tc>
          <w:tcPr>
            <w:tcW w:w="419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提升食品安全保障水平</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分管市领导</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代金涛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sz w:val="24"/>
                <w:szCs w:val="24"/>
              </w:rPr>
              <w:t>绩效目标</w:t>
            </w:r>
          </w:p>
        </w:tc>
        <w:tc>
          <w:tcPr>
            <w:tcW w:w="787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color w:val="000000"/>
                <w:kern w:val="2"/>
                <w:sz w:val="24"/>
                <w:szCs w:val="24"/>
                <w:highlight w:val="none"/>
                <w:lang w:val="en-US" w:eastAsia="zh-CN" w:bidi="ar-SA"/>
              </w:rPr>
            </w:pPr>
            <w:r>
              <w:rPr>
                <w:rFonts w:hint="eastAsia" w:ascii="仿宋_GB2312" w:eastAsia="仿宋_GB2312" w:cs="Times New Roman"/>
                <w:color w:val="000000"/>
                <w:kern w:val="2"/>
                <w:sz w:val="24"/>
                <w:szCs w:val="24"/>
                <w:highlight w:val="none"/>
                <w:lang w:val="en-US" w:eastAsia="zh-CN" w:bidi="ar-SA"/>
              </w:rPr>
              <w:t>1.“圳品”建设：紧跟国家发展总体方向，积极推进“圳品”建设，制定“圳品”标准5项，修订“圳品”标准30项，新增“圳品”400个，强化“圳品”获证后的品质保障力度，拓宽“圳品”销售渠道，提升品牌影响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eastAsia="仿宋_GB2312" w:cs="Times New Roman"/>
                <w:color w:val="000000"/>
                <w:kern w:val="2"/>
                <w:sz w:val="24"/>
                <w:szCs w:val="24"/>
                <w:highlight w:val="none"/>
                <w:lang w:val="en-US" w:eastAsia="zh-CN" w:bidi="ar-SA"/>
              </w:rPr>
            </w:pPr>
            <w:r>
              <w:rPr>
                <w:rFonts w:hint="eastAsia" w:ascii="仿宋_GB2312" w:eastAsia="仿宋_GB2312" w:cs="Times New Roman"/>
                <w:color w:val="000000"/>
                <w:kern w:val="2"/>
                <w:sz w:val="24"/>
                <w:szCs w:val="24"/>
                <w:highlight w:val="none"/>
                <w:lang w:val="en-US" w:eastAsia="zh-CN" w:bidi="ar-SA"/>
              </w:rPr>
              <w:t>2.食品及</w:t>
            </w:r>
            <w:r>
              <w:rPr>
                <w:rFonts w:hint="eastAsia" w:ascii="仿宋_GB2312" w:hAnsi="仿宋_GB2312" w:eastAsia="仿宋_GB2312" w:cs="仿宋_GB2312"/>
                <w:color w:val="000000"/>
                <w:sz w:val="24"/>
                <w:szCs w:val="24"/>
                <w:lang w:val="en-US" w:eastAsia="zh-CN"/>
              </w:rPr>
              <w:t>食用农产品</w:t>
            </w:r>
            <w:r>
              <w:rPr>
                <w:rFonts w:hint="eastAsia" w:ascii="仿宋_GB2312" w:eastAsia="仿宋_GB2312" w:cs="Times New Roman"/>
                <w:color w:val="000000"/>
                <w:kern w:val="2"/>
                <w:sz w:val="24"/>
                <w:szCs w:val="24"/>
                <w:highlight w:val="none"/>
                <w:lang w:val="en-US" w:eastAsia="zh-CN" w:bidi="ar-SA"/>
              </w:rPr>
              <w:t>定量抽检：食品抽检覆盖率不少于5批次/千人，</w:t>
            </w:r>
            <w:r>
              <w:rPr>
                <w:rStyle w:val="7"/>
                <w:rFonts w:hint="eastAsia" w:ascii="仿宋_GB2312" w:hAnsi="仿宋_GB2312" w:eastAsia="仿宋_GB2312" w:cs="仿宋_GB2312"/>
                <w:sz w:val="24"/>
                <w:szCs w:val="24"/>
                <w:highlight w:val="none"/>
                <w:u w:val="none" w:color="auto"/>
                <w:lang w:val="en-US" w:eastAsia="zh-CN" w:bidi="ar"/>
              </w:rPr>
              <w:t>食用农产品抽检覆盖率达到5批次/千人</w:t>
            </w:r>
            <w:r>
              <w:rPr>
                <w:rFonts w:hint="eastAsia" w:ascii="仿宋_GB2312" w:eastAsia="仿宋_GB2312" w:cs="Times New Roman"/>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指标说明</w:t>
            </w:r>
          </w:p>
        </w:tc>
        <w:tc>
          <w:tcPr>
            <w:tcW w:w="7876" w:type="dxa"/>
            <w:gridSpan w:val="3"/>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color w:val="000000"/>
                <w:sz w:val="24"/>
                <w:szCs w:val="24"/>
                <w:lang w:val="en-US" w:eastAsia="zh-CN"/>
              </w:rPr>
            </w:pPr>
            <w:r>
              <w:rPr>
                <w:rFonts w:hint="eastAsia"/>
                <w:color w:val="000000"/>
                <w:sz w:val="24"/>
                <w:szCs w:val="24"/>
                <w:lang w:val="en-US" w:eastAsia="zh-CN"/>
              </w:rPr>
              <w:t>1.“圳品”标准、产品的数量反映“圳品”标准的先进性和“圳品”市场覆盖率，“圳品”的品质建立在其先进标准与市场覆盖所形成的生命力之上，“圳品”品质是“圳品”生命力的重要体现。《深圳市国民经济和社会发展第十四个五年规划和二〇三五年远景目标纲要》《中共深圳市委办公厅·深圳市人民政府办公厅印发&lt;关于深化改革加强食品安全工作的实施方案&gt;的通知》《广东省加强省际合作工作任务清单》等文件明确，加大“圳品“宣传力度，高标准推进“圳品”城市品牌。同时，“圳品”已与21个省、市地区签订“圳品”框架合作协议，不断丰富“圳品”品种，支持对口支援地区优质农产品通过“圳品”认证。“圳品”建设的成效有助于护航食品安全、促进乡村振兴、加强东西部协作、推动产业高质量发展。截至2025年8月，累计制修订“圳品”标准842项，新增“圳品”2166个。</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color w:val="000000"/>
                <w:sz w:val="24"/>
                <w:szCs w:val="24"/>
                <w:lang w:val="en-US" w:eastAsia="zh-CN"/>
              </w:rPr>
              <w:t>2.根据《广东省市场监督管理局关于印发广东省“民生十大工程”五年行动计划食品安全领域实施方案（2023—2027年）的通知》要求，食品抽检量达到6.7批次/千人（其中农产品检验量达到2批次/千人），结合我市实际监管工作情况，</w:t>
            </w:r>
            <w:r>
              <w:rPr>
                <w:rFonts w:hint="eastAsia" w:ascii="仿宋_GB2312" w:hAnsi="仿宋_GB2312" w:eastAsia="仿宋_GB2312" w:cs="仿宋_GB2312"/>
                <w:b w:val="0"/>
                <w:bCs w:val="0"/>
                <w:color w:val="000000"/>
                <w:kern w:val="2"/>
                <w:sz w:val="24"/>
                <w:szCs w:val="24"/>
                <w:lang w:val="en-US" w:eastAsia="zh-CN" w:bidi="ar-SA"/>
              </w:rPr>
              <w:t>明确抽检总量，</w:t>
            </w:r>
            <w:r>
              <w:rPr>
                <w:rFonts w:hint="eastAsia"/>
                <w:color w:val="000000"/>
                <w:sz w:val="24"/>
                <w:szCs w:val="24"/>
                <w:lang w:val="en-US" w:eastAsia="zh-CN"/>
              </w:rPr>
              <w:t>确保对重点领域、重点环节、重点主体开展食品抽检工作，</w:t>
            </w:r>
            <w:r>
              <w:rPr>
                <w:rFonts w:hint="eastAsia" w:ascii="仿宋_GB2312" w:hAnsi="仿宋_GB2312" w:eastAsia="仿宋_GB2312" w:cs="仿宋_GB2312"/>
                <w:b w:val="0"/>
                <w:bCs w:val="0"/>
                <w:color w:val="000000"/>
                <w:kern w:val="2"/>
                <w:sz w:val="24"/>
                <w:szCs w:val="24"/>
                <w:lang w:val="en-US" w:eastAsia="zh-CN" w:bidi="ar-SA"/>
              </w:rPr>
              <w:t>对我市农贸农批市场、大型商超、种植基地、电商等重点环节实施高强度、广覆盖的抽检监测，直观反映监管资源的投入力度和主动发现问题的能力</w:t>
            </w:r>
            <w:r>
              <w:rPr>
                <w:rFonts w:hint="eastAsia" w:hAnsi="仿宋_GB2312" w:cs="仿宋_GB2312"/>
                <w:b w:val="0"/>
                <w:bCs w:val="0"/>
                <w:color w:val="000000"/>
                <w:kern w:val="2"/>
                <w:sz w:val="24"/>
                <w:szCs w:val="24"/>
                <w:lang w:val="en-US" w:eastAsia="zh-CN" w:bidi="ar-SA"/>
              </w:rPr>
              <w:t>，</w:t>
            </w:r>
            <w:r>
              <w:rPr>
                <w:rFonts w:hint="eastAsia"/>
                <w:color w:val="000000"/>
                <w:sz w:val="24"/>
                <w:szCs w:val="24"/>
                <w:lang w:val="en-US" w:eastAsia="zh-CN"/>
              </w:rPr>
              <w:t>守牢食品安全底线。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sz w:val="24"/>
                <w:szCs w:val="24"/>
                <w:lang w:eastAsia="zh-CN"/>
              </w:rPr>
              <w:t>资金安排</w:t>
            </w:r>
          </w:p>
        </w:tc>
        <w:tc>
          <w:tcPr>
            <w:tcW w:w="7876" w:type="dxa"/>
            <w:gridSpan w:val="3"/>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cs="Times New Roman"/>
                <w:color w:val="000000"/>
                <w:sz w:val="24"/>
                <w:szCs w:val="24"/>
                <w:highlight w:val="none"/>
                <w:lang w:val="en-US" w:eastAsia="zh-CN"/>
              </w:rPr>
            </w:pPr>
            <w:r>
              <w:rPr>
                <w:rFonts w:hint="eastAsia" w:cs="Times New Roman"/>
                <w:color w:val="000000"/>
                <w:sz w:val="24"/>
                <w:szCs w:val="24"/>
                <w:highlight w:val="none"/>
                <w:lang w:val="en-US" w:eastAsia="zh-CN"/>
              </w:rPr>
              <w:t>1.“圳品”建设：由市财政资金予以保障，已申报2026年部门预算一上审核。</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eastAsia="仿宋_GB2312" w:cs="Times New Roman"/>
                <w:color w:val="000000"/>
                <w:kern w:val="2"/>
                <w:sz w:val="24"/>
                <w:szCs w:val="24"/>
                <w:highlight w:val="none"/>
                <w:lang w:val="en-US" w:eastAsia="zh-CN" w:bidi="ar-SA"/>
              </w:rPr>
              <w:t>2.食品</w:t>
            </w:r>
            <w:r>
              <w:rPr>
                <w:rFonts w:hint="eastAsia" w:cs="Times New Roman"/>
                <w:color w:val="000000"/>
                <w:kern w:val="2"/>
                <w:sz w:val="24"/>
                <w:szCs w:val="24"/>
                <w:highlight w:val="none"/>
                <w:lang w:val="en-US" w:eastAsia="zh-CN" w:bidi="ar-SA"/>
              </w:rPr>
              <w:t>及</w:t>
            </w:r>
            <w:r>
              <w:rPr>
                <w:rFonts w:hint="eastAsia" w:ascii="仿宋_GB2312" w:hAnsi="仿宋_GB2312" w:eastAsia="仿宋_GB2312" w:cs="仿宋_GB2312"/>
                <w:color w:val="000000"/>
                <w:sz w:val="24"/>
                <w:szCs w:val="24"/>
                <w:lang w:val="en-US" w:eastAsia="zh-CN"/>
              </w:rPr>
              <w:t>食用农产品</w:t>
            </w:r>
            <w:r>
              <w:rPr>
                <w:rFonts w:hint="eastAsia" w:ascii="仿宋_GB2312" w:eastAsia="仿宋_GB2312" w:cs="Times New Roman"/>
                <w:color w:val="000000"/>
                <w:kern w:val="2"/>
                <w:sz w:val="24"/>
                <w:szCs w:val="24"/>
                <w:highlight w:val="none"/>
                <w:lang w:val="en-US" w:eastAsia="zh-CN" w:bidi="ar-SA"/>
              </w:rPr>
              <w:t>定量抽检：</w:t>
            </w:r>
            <w:r>
              <w:rPr>
                <w:rFonts w:hint="eastAsia" w:cs="Times New Roman"/>
                <w:color w:val="000000"/>
                <w:sz w:val="24"/>
                <w:szCs w:val="24"/>
                <w:highlight w:val="none"/>
                <w:lang w:val="en-US" w:eastAsia="zh-CN"/>
              </w:rPr>
              <w:t>由市财政资金予以保障，已申报2026年部门预算一上审核。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sz w:val="24"/>
                <w:szCs w:val="24"/>
                <w:lang w:eastAsia="zh-CN"/>
              </w:rPr>
              <w:t>责任单位</w:t>
            </w:r>
          </w:p>
        </w:tc>
        <w:tc>
          <w:tcPr>
            <w:tcW w:w="787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Calibri"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1.</w:t>
            </w:r>
            <w:r>
              <w:rPr>
                <w:rFonts w:hint="eastAsia" w:ascii="仿宋_GB2312" w:hAnsi="Calibri" w:eastAsia="仿宋_GB2312" w:cs="Times New Roman"/>
                <w:color w:val="000000"/>
                <w:kern w:val="2"/>
                <w:sz w:val="24"/>
                <w:szCs w:val="24"/>
                <w:lang w:val="en-US" w:eastAsia="zh-CN" w:bidi="ar-SA"/>
              </w:rPr>
              <w:t>牵头单位：市市场监管局牵头；协办单位：市发展改革委、市教育局、市公安局、市生态环境局、市商务局、市国资委、市乡村振兴和协作交流局、市海洋局。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2.</w:t>
            </w:r>
            <w:r>
              <w:rPr>
                <w:rFonts w:hint="eastAsia" w:ascii="仿宋_GB2312" w:hAnsi="Calibri" w:eastAsia="仿宋_GB2312" w:cs="Times New Roman"/>
                <w:color w:val="000000"/>
                <w:kern w:val="2"/>
                <w:sz w:val="24"/>
                <w:szCs w:val="24"/>
                <w:lang w:val="en-US" w:eastAsia="zh-CN" w:bidi="ar-SA"/>
              </w:rPr>
              <w:t>牵头单位：市市场监管局牵头</w:t>
            </w:r>
            <w:r>
              <w:rPr>
                <w:rFonts w:hint="eastAsia" w:ascii="仿宋_GB2312"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pacing w:val="0"/>
                <w:sz w:val="24"/>
                <w:szCs w:val="24"/>
                <w:lang w:eastAsia="zh-CN"/>
              </w:rPr>
              <w:t>实施步骤</w:t>
            </w:r>
          </w:p>
        </w:tc>
        <w:tc>
          <w:tcPr>
            <w:tcW w:w="7876" w:type="dxa"/>
            <w:gridSpan w:val="3"/>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1" w:firstLineChars="200"/>
              <w:textAlignment w:val="auto"/>
              <w:rPr>
                <w:rFonts w:hint="eastAsia" w:cs="Times New Roman"/>
                <w:color w:val="000000"/>
                <w:sz w:val="24"/>
                <w:szCs w:val="24"/>
                <w:highlight w:val="none"/>
                <w:lang w:val="en-US" w:eastAsia="zh-CN"/>
              </w:rPr>
            </w:pPr>
            <w:r>
              <w:rPr>
                <w:rFonts w:hint="eastAsia" w:cs="Times New Roman"/>
                <w:b/>
                <w:bCs/>
                <w:color w:val="000000"/>
                <w:sz w:val="24"/>
                <w:szCs w:val="24"/>
                <w:highlight w:val="none"/>
                <w:lang w:val="en-US" w:eastAsia="zh-CN"/>
              </w:rPr>
              <w:t>第一季度：</w:t>
            </w:r>
            <w:r>
              <w:rPr>
                <w:rFonts w:hint="eastAsia" w:cs="Times New Roman"/>
                <w:color w:val="000000"/>
                <w:sz w:val="24"/>
                <w:szCs w:val="24"/>
                <w:highlight w:val="none"/>
                <w:lang w:val="en-US" w:eastAsia="zh-CN"/>
              </w:rPr>
              <w:t>（1）制订“圳品”标准与评价工作计划，组织发动企业申报“圳品”。（2）</w:t>
            </w:r>
            <w:r>
              <w:rPr>
                <w:rFonts w:hint="eastAsia" w:ascii="仿宋_GB2312" w:hAnsi="仿宋_GB2312" w:eastAsia="仿宋_GB2312" w:cs="仿宋_GB2312"/>
                <w:b w:val="0"/>
                <w:bCs w:val="0"/>
                <w:color w:val="auto"/>
                <w:spacing w:val="0"/>
                <w:sz w:val="24"/>
                <w:szCs w:val="24"/>
                <w:lang w:val="en-US" w:eastAsia="zh-CN"/>
              </w:rPr>
              <w:t>累计食品抽检覆盖率不少于0.56批次/千人</w:t>
            </w:r>
            <w:r>
              <w:rPr>
                <w:rFonts w:hint="eastAsia" w:hAnsi="仿宋_GB2312" w:cs="仿宋_GB2312"/>
                <w:b w:val="0"/>
                <w:bCs w:val="0"/>
                <w:color w:val="auto"/>
                <w:spacing w:val="0"/>
                <w:sz w:val="24"/>
                <w:szCs w:val="24"/>
                <w:lang w:val="en-US" w:eastAsia="zh-CN"/>
              </w:rPr>
              <w:t>，</w:t>
            </w:r>
            <w:r>
              <w:rPr>
                <w:rFonts w:hint="eastAsia" w:ascii="仿宋_GB2312" w:hAnsi="仿宋_GB2312" w:eastAsia="仿宋_GB2312" w:cs="仿宋_GB2312"/>
                <w:b w:val="0"/>
                <w:bCs w:val="0"/>
                <w:color w:val="auto"/>
                <w:spacing w:val="0"/>
                <w:sz w:val="24"/>
                <w:szCs w:val="24"/>
                <w:lang w:val="en-US" w:eastAsia="zh-CN"/>
              </w:rPr>
              <w:t>累计</w:t>
            </w:r>
            <w:r>
              <w:rPr>
                <w:rStyle w:val="7"/>
                <w:rFonts w:hint="eastAsia" w:ascii="仿宋_GB2312" w:hAnsi="仿宋_GB2312" w:eastAsia="仿宋_GB2312" w:cs="仿宋_GB2312"/>
                <w:sz w:val="24"/>
                <w:szCs w:val="24"/>
                <w:highlight w:val="none"/>
                <w:u w:val="none" w:color="auto"/>
                <w:lang w:val="en-US" w:eastAsia="zh-CN" w:bidi="ar"/>
              </w:rPr>
              <w:t>食用农产品抽检覆盖率达到0.56批次/千人</w:t>
            </w:r>
            <w:r>
              <w:rPr>
                <w:rStyle w:val="7"/>
                <w:rFonts w:hint="eastAsia" w:hAnsi="仿宋_GB2312" w:cs="仿宋_GB2312"/>
                <w:sz w:val="24"/>
                <w:szCs w:val="24"/>
                <w:highlight w:val="none"/>
                <w:u w:val="none" w:color="auto"/>
                <w:lang w:val="en-US" w:eastAsia="zh-CN" w:bidi="ar"/>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1" w:firstLineChars="200"/>
              <w:textAlignment w:val="auto"/>
              <w:rPr>
                <w:rFonts w:hint="eastAsia" w:cs="Times New Roman"/>
                <w:color w:val="000000"/>
                <w:sz w:val="24"/>
                <w:szCs w:val="24"/>
                <w:highlight w:val="none"/>
                <w:lang w:val="en-US" w:eastAsia="zh-CN"/>
              </w:rPr>
            </w:pPr>
            <w:r>
              <w:rPr>
                <w:rFonts w:hint="eastAsia" w:cs="Times New Roman"/>
                <w:b/>
                <w:bCs/>
                <w:color w:val="000000"/>
                <w:sz w:val="24"/>
                <w:szCs w:val="24"/>
                <w:highlight w:val="none"/>
                <w:lang w:val="en-US" w:eastAsia="zh-CN"/>
              </w:rPr>
              <w:t>第二季度</w:t>
            </w:r>
            <w:r>
              <w:rPr>
                <w:rFonts w:hint="eastAsia" w:cs="Times New Roman"/>
                <w:color w:val="000000"/>
                <w:sz w:val="24"/>
                <w:szCs w:val="24"/>
                <w:highlight w:val="none"/>
                <w:lang w:val="en-US" w:eastAsia="zh-CN"/>
              </w:rPr>
              <w:t>：（1）标准跟踪评价、复审及制修订需求征集，新增“圳品”100个。（2）</w:t>
            </w:r>
            <w:r>
              <w:rPr>
                <w:rFonts w:hint="eastAsia" w:ascii="仿宋_GB2312" w:hAnsi="仿宋_GB2312" w:eastAsia="仿宋_GB2312" w:cs="仿宋_GB2312"/>
                <w:b w:val="0"/>
                <w:bCs w:val="0"/>
                <w:color w:val="auto"/>
                <w:spacing w:val="0"/>
                <w:sz w:val="24"/>
                <w:szCs w:val="24"/>
                <w:highlight w:val="none"/>
                <w:lang w:val="en-US" w:eastAsia="zh-CN"/>
              </w:rPr>
              <w:t>累计食品抽检覆盖率不少于1.68批次/千人</w:t>
            </w:r>
            <w:r>
              <w:rPr>
                <w:rFonts w:hint="eastAsia" w:hAnsi="仿宋_GB2312" w:cs="仿宋_GB2312"/>
                <w:b w:val="0"/>
                <w:bCs w:val="0"/>
                <w:color w:val="auto"/>
                <w:spacing w:val="0"/>
                <w:sz w:val="24"/>
                <w:szCs w:val="24"/>
                <w:highlight w:val="none"/>
                <w:lang w:val="en-US" w:eastAsia="zh-CN"/>
              </w:rPr>
              <w:t>，</w:t>
            </w:r>
            <w:r>
              <w:rPr>
                <w:rFonts w:hint="eastAsia" w:ascii="仿宋_GB2312" w:hAnsi="仿宋_GB2312" w:eastAsia="仿宋_GB2312" w:cs="仿宋_GB2312"/>
                <w:b w:val="0"/>
                <w:bCs w:val="0"/>
                <w:color w:val="auto"/>
                <w:spacing w:val="0"/>
                <w:sz w:val="24"/>
                <w:szCs w:val="24"/>
                <w:highlight w:val="none"/>
                <w:lang w:val="en-US" w:eastAsia="zh-CN"/>
              </w:rPr>
              <w:t>累计</w:t>
            </w:r>
            <w:r>
              <w:rPr>
                <w:rStyle w:val="7"/>
                <w:rFonts w:hint="eastAsia" w:ascii="仿宋_GB2312" w:hAnsi="仿宋_GB2312" w:eastAsia="仿宋_GB2312" w:cs="仿宋_GB2312"/>
                <w:sz w:val="24"/>
                <w:szCs w:val="24"/>
                <w:highlight w:val="none"/>
                <w:u w:val="none" w:color="auto"/>
                <w:lang w:val="en-US" w:eastAsia="zh-CN" w:bidi="ar"/>
              </w:rPr>
              <w:t>食用农产品抽检覆盖率达到1.68批次/千人</w:t>
            </w:r>
            <w:r>
              <w:rPr>
                <w:rStyle w:val="7"/>
                <w:rFonts w:hint="eastAsia" w:hAnsi="仿宋_GB2312" w:cs="仿宋_GB2312"/>
                <w:sz w:val="24"/>
                <w:szCs w:val="24"/>
                <w:highlight w:val="none"/>
                <w:u w:val="none" w:color="auto"/>
                <w:lang w:val="en-US" w:eastAsia="zh-CN" w:bidi="ar"/>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1" w:firstLineChars="200"/>
              <w:textAlignment w:val="auto"/>
              <w:rPr>
                <w:rFonts w:hint="eastAsia" w:ascii="仿宋_GB2312" w:hAnsi="Calibri" w:eastAsia="仿宋_GB2312" w:cs="Times New Roman"/>
                <w:color w:val="000000"/>
                <w:kern w:val="2"/>
                <w:sz w:val="24"/>
                <w:szCs w:val="24"/>
                <w:highlight w:val="none"/>
                <w:lang w:val="en-US" w:eastAsia="zh-CN" w:bidi="ar-SA"/>
              </w:rPr>
            </w:pPr>
            <w:r>
              <w:rPr>
                <w:rFonts w:hint="eastAsia" w:cs="Times New Roman"/>
                <w:b/>
                <w:bCs/>
                <w:color w:val="000000"/>
                <w:sz w:val="24"/>
                <w:szCs w:val="24"/>
                <w:highlight w:val="none"/>
                <w:lang w:val="en-US" w:eastAsia="zh-CN"/>
              </w:rPr>
              <w:t>第三季度：</w:t>
            </w:r>
            <w:r>
              <w:rPr>
                <w:rFonts w:hint="eastAsia" w:cs="Times New Roman"/>
                <w:color w:val="000000"/>
                <w:sz w:val="24"/>
                <w:szCs w:val="24"/>
                <w:highlight w:val="none"/>
                <w:lang w:val="en-US" w:eastAsia="zh-CN"/>
              </w:rPr>
              <w:t>（1）制定“圳品”标准3项，修订“圳品”标准10项，累计新增“圳品”200个</w:t>
            </w:r>
            <w:r>
              <w:rPr>
                <w:rFonts w:hint="eastAsia" w:ascii="仿宋_GB2312" w:hAnsi="Calibri" w:eastAsia="仿宋_GB2312"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（2）</w:t>
            </w:r>
            <w:r>
              <w:rPr>
                <w:rFonts w:hint="eastAsia" w:ascii="仿宋_GB2312" w:hAnsi="仿宋_GB2312" w:eastAsia="仿宋_GB2312" w:cs="仿宋_GB2312"/>
                <w:b w:val="0"/>
                <w:bCs w:val="0"/>
                <w:color w:val="auto"/>
                <w:spacing w:val="0"/>
                <w:sz w:val="24"/>
                <w:szCs w:val="24"/>
                <w:highlight w:val="none"/>
                <w:lang w:val="en-US" w:eastAsia="zh-CN"/>
              </w:rPr>
              <w:t>累计食品抽检覆盖率不少于3.37批次/千人</w:t>
            </w:r>
            <w:r>
              <w:rPr>
                <w:rFonts w:hint="eastAsia" w:hAnsi="仿宋_GB2312" w:cs="仿宋_GB2312"/>
                <w:b w:val="0"/>
                <w:bCs w:val="0"/>
                <w:color w:val="auto"/>
                <w:spacing w:val="0"/>
                <w:sz w:val="24"/>
                <w:szCs w:val="24"/>
                <w:highlight w:val="none"/>
                <w:lang w:val="en-US" w:eastAsia="zh-CN"/>
              </w:rPr>
              <w:t>，</w:t>
            </w:r>
            <w:r>
              <w:rPr>
                <w:rFonts w:hint="eastAsia" w:ascii="仿宋_GB2312" w:hAnsi="仿宋_GB2312" w:eastAsia="仿宋_GB2312" w:cs="仿宋_GB2312"/>
                <w:b w:val="0"/>
                <w:bCs w:val="0"/>
                <w:color w:val="auto"/>
                <w:spacing w:val="0"/>
                <w:sz w:val="24"/>
                <w:szCs w:val="24"/>
                <w:highlight w:val="none"/>
                <w:lang w:val="en-US" w:eastAsia="zh-CN"/>
              </w:rPr>
              <w:t>累计</w:t>
            </w:r>
            <w:r>
              <w:rPr>
                <w:rStyle w:val="7"/>
                <w:rFonts w:hint="eastAsia" w:ascii="仿宋_GB2312" w:hAnsi="仿宋_GB2312" w:eastAsia="仿宋_GB2312" w:cs="仿宋_GB2312"/>
                <w:sz w:val="24"/>
                <w:szCs w:val="24"/>
                <w:highlight w:val="none"/>
                <w:u w:val="none" w:color="auto"/>
                <w:lang w:val="en-US" w:eastAsia="zh-CN" w:bidi="ar"/>
              </w:rPr>
              <w:t>食用农产品抽检覆盖率达到3.37批次/千人</w:t>
            </w:r>
            <w:r>
              <w:rPr>
                <w:rStyle w:val="7"/>
                <w:rFonts w:hint="eastAsia" w:hAnsi="仿宋_GB2312" w:cs="仿宋_GB2312"/>
                <w:sz w:val="24"/>
                <w:szCs w:val="24"/>
                <w:highlight w:val="none"/>
                <w:u w:val="none" w:color="auto"/>
                <w:lang w:val="en-US" w:eastAsia="zh-CN" w:bidi="ar"/>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1" w:firstLineChars="200"/>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Calibri" w:eastAsia="仿宋_GB2312" w:cs="Times New Roman"/>
                <w:b/>
                <w:bCs/>
                <w:color w:val="000000"/>
                <w:kern w:val="2"/>
                <w:sz w:val="24"/>
                <w:szCs w:val="24"/>
                <w:highlight w:val="none"/>
                <w:lang w:val="en-US" w:eastAsia="zh-CN" w:bidi="ar-SA"/>
              </w:rPr>
              <w:t>第四季度：</w:t>
            </w:r>
            <w:r>
              <w:rPr>
                <w:rFonts w:hint="eastAsia" w:ascii="仿宋_GB2312" w:hAnsi="Calibri" w:eastAsia="仿宋_GB2312" w:cs="Times New Roman"/>
                <w:color w:val="000000"/>
                <w:kern w:val="2"/>
                <w:sz w:val="24"/>
                <w:szCs w:val="24"/>
                <w:highlight w:val="none"/>
                <w:lang w:val="en-US" w:eastAsia="zh-CN" w:bidi="ar-SA"/>
              </w:rPr>
              <w:t>（1）</w:t>
            </w:r>
            <w:r>
              <w:rPr>
                <w:rFonts w:hint="eastAsia" w:cs="Times New Roman"/>
                <w:color w:val="000000"/>
                <w:kern w:val="2"/>
                <w:sz w:val="24"/>
                <w:szCs w:val="24"/>
                <w:highlight w:val="none"/>
                <w:lang w:val="en-US" w:eastAsia="zh-CN" w:bidi="ar-SA"/>
              </w:rPr>
              <w:t>累计</w:t>
            </w:r>
            <w:r>
              <w:rPr>
                <w:rFonts w:hint="eastAsia" w:ascii="仿宋_GB2312" w:eastAsia="仿宋_GB2312" w:cs="Times New Roman"/>
                <w:color w:val="000000"/>
                <w:kern w:val="2"/>
                <w:sz w:val="24"/>
                <w:szCs w:val="24"/>
                <w:highlight w:val="none"/>
                <w:lang w:val="en-US" w:eastAsia="zh-CN" w:bidi="ar-SA"/>
              </w:rPr>
              <w:t>制定“圳品”标准5项，</w:t>
            </w:r>
            <w:r>
              <w:rPr>
                <w:rFonts w:hint="eastAsia" w:cs="Times New Roman"/>
                <w:color w:val="000000"/>
                <w:kern w:val="2"/>
                <w:sz w:val="24"/>
                <w:szCs w:val="24"/>
                <w:highlight w:val="none"/>
                <w:lang w:val="en-US" w:eastAsia="zh-CN" w:bidi="ar-SA"/>
              </w:rPr>
              <w:t>累计</w:t>
            </w:r>
            <w:r>
              <w:rPr>
                <w:rFonts w:hint="eastAsia" w:ascii="仿宋_GB2312" w:eastAsia="仿宋_GB2312" w:cs="Times New Roman"/>
                <w:color w:val="000000"/>
                <w:kern w:val="2"/>
                <w:sz w:val="24"/>
                <w:szCs w:val="24"/>
                <w:highlight w:val="none"/>
                <w:lang w:val="en-US" w:eastAsia="zh-CN" w:bidi="ar-SA"/>
              </w:rPr>
              <w:t>修订“圳品”标准30项，</w:t>
            </w:r>
            <w:r>
              <w:rPr>
                <w:rFonts w:hint="eastAsia" w:cs="Times New Roman"/>
                <w:color w:val="000000"/>
                <w:kern w:val="2"/>
                <w:sz w:val="24"/>
                <w:szCs w:val="24"/>
                <w:highlight w:val="none"/>
                <w:lang w:val="en-US" w:eastAsia="zh-CN" w:bidi="ar-SA"/>
              </w:rPr>
              <w:t>累计</w:t>
            </w:r>
            <w:r>
              <w:rPr>
                <w:rFonts w:hint="eastAsia" w:ascii="仿宋_GB2312" w:eastAsia="仿宋_GB2312" w:cs="Times New Roman"/>
                <w:color w:val="000000"/>
                <w:kern w:val="2"/>
                <w:sz w:val="24"/>
                <w:szCs w:val="24"/>
                <w:highlight w:val="none"/>
                <w:lang w:val="en-US" w:eastAsia="zh-CN" w:bidi="ar-SA"/>
              </w:rPr>
              <w:t>新增“圳品”400个</w:t>
            </w:r>
            <w:r>
              <w:rPr>
                <w:rFonts w:hint="eastAsia" w:ascii="仿宋_GB2312" w:hAnsi="Calibri" w:eastAsia="仿宋_GB2312" w:cs="Times New Roman"/>
                <w:color w:val="000000"/>
                <w:kern w:val="2"/>
                <w:sz w:val="24"/>
                <w:szCs w:val="24"/>
                <w:highlight w:val="none"/>
                <w:lang w:val="en-US" w:eastAsia="zh-CN" w:bidi="ar-SA"/>
              </w:rPr>
              <w:t>。</w:t>
            </w:r>
            <w:r>
              <w:rPr>
                <w:rFonts w:hint="eastAsia" w:ascii="仿宋_GB2312" w:eastAsia="仿宋_GB2312" w:cs="Times New Roman"/>
                <w:color w:val="000000"/>
                <w:kern w:val="2"/>
                <w:sz w:val="24"/>
                <w:szCs w:val="24"/>
                <w:highlight w:val="none"/>
                <w:lang w:val="en-US" w:eastAsia="zh-CN" w:bidi="ar-SA"/>
              </w:rPr>
              <w:t>（2）</w:t>
            </w:r>
            <w:r>
              <w:rPr>
                <w:rFonts w:hint="eastAsia" w:ascii="仿宋_GB2312" w:hAnsi="仿宋_GB2312" w:eastAsia="仿宋_GB2312" w:cs="仿宋_GB2312"/>
                <w:b w:val="0"/>
                <w:bCs w:val="0"/>
                <w:color w:val="auto"/>
                <w:spacing w:val="0"/>
                <w:sz w:val="24"/>
                <w:szCs w:val="24"/>
                <w:highlight w:val="none"/>
                <w:lang w:val="en-US" w:eastAsia="zh-CN"/>
              </w:rPr>
              <w:t>累计</w:t>
            </w:r>
            <w:r>
              <w:rPr>
                <w:rFonts w:hint="eastAsia" w:ascii="仿宋_GB2312" w:hAnsi="仿宋_GB2312" w:eastAsia="仿宋_GB2312" w:cs="仿宋_GB2312"/>
                <w:b w:val="0"/>
                <w:bCs w:val="0"/>
                <w:color w:val="auto"/>
                <w:spacing w:val="0"/>
                <w:sz w:val="24"/>
                <w:szCs w:val="24"/>
                <w:lang w:val="en-US" w:eastAsia="zh-CN"/>
              </w:rPr>
              <w:t>食品抽检覆盖率不少于5批次/千人</w:t>
            </w:r>
            <w:r>
              <w:rPr>
                <w:rFonts w:hint="eastAsia" w:hAnsi="仿宋_GB2312" w:cs="仿宋_GB2312"/>
                <w:b w:val="0"/>
                <w:bCs w:val="0"/>
                <w:color w:val="auto"/>
                <w:spacing w:val="0"/>
                <w:sz w:val="24"/>
                <w:szCs w:val="24"/>
                <w:lang w:val="en-US" w:eastAsia="zh-CN"/>
              </w:rPr>
              <w:t>，</w:t>
            </w:r>
            <w:r>
              <w:rPr>
                <w:rFonts w:hint="eastAsia" w:ascii="仿宋_GB2312" w:hAnsi="仿宋_GB2312" w:eastAsia="仿宋_GB2312" w:cs="仿宋_GB2312"/>
                <w:b w:val="0"/>
                <w:bCs w:val="0"/>
                <w:color w:val="auto"/>
                <w:spacing w:val="0"/>
                <w:sz w:val="24"/>
                <w:szCs w:val="24"/>
                <w:lang w:val="en-US" w:eastAsia="zh-CN"/>
              </w:rPr>
              <w:t>累计</w:t>
            </w:r>
            <w:r>
              <w:rPr>
                <w:rStyle w:val="7"/>
                <w:rFonts w:hint="eastAsia" w:ascii="仿宋_GB2312" w:hAnsi="仿宋_GB2312" w:eastAsia="仿宋_GB2312" w:cs="仿宋_GB2312"/>
                <w:sz w:val="24"/>
                <w:szCs w:val="24"/>
                <w:highlight w:val="none"/>
                <w:u w:val="none" w:color="auto"/>
                <w:lang w:val="en-US" w:eastAsia="zh-CN" w:bidi="ar"/>
              </w:rPr>
              <w:t>食用农产品抽检覆盖率达到5批次/千人</w:t>
            </w:r>
            <w:r>
              <w:rPr>
                <w:rStyle w:val="7"/>
                <w:rFonts w:hint="eastAsia" w:hAnsi="仿宋_GB2312" w:cs="仿宋_GB2312"/>
                <w:sz w:val="24"/>
                <w:szCs w:val="24"/>
                <w:highlight w:val="none"/>
                <w:u w:val="none" w:color="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背景情况</w:t>
            </w:r>
          </w:p>
        </w:tc>
        <w:tc>
          <w:tcPr>
            <w:tcW w:w="7876" w:type="dxa"/>
            <w:gridSpan w:val="3"/>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default" w:cs="Times New Roman"/>
                <w:color w:val="000000"/>
                <w:sz w:val="24"/>
                <w:szCs w:val="24"/>
                <w:lang w:val="en-US" w:eastAsia="zh-CN"/>
              </w:rPr>
            </w:pPr>
            <w:r>
              <w:rPr>
                <w:rFonts w:hint="eastAsia" w:cs="Times New Roman"/>
                <w:color w:val="000000"/>
                <w:sz w:val="24"/>
                <w:szCs w:val="24"/>
                <w:lang w:val="en-US" w:eastAsia="zh-CN"/>
              </w:rPr>
              <w:t>1.“圳品”是2018年以来深圳实施食品安全战略而打造的高标准食品城市品牌。“圳品”工作已被列入省、市重要文件130余项，</w:t>
            </w:r>
            <w:r>
              <w:rPr>
                <w:rFonts w:hint="eastAsia"/>
                <w:color w:val="000000"/>
                <w:sz w:val="24"/>
                <w:szCs w:val="24"/>
                <w:lang w:val="en-US" w:eastAsia="zh-CN"/>
              </w:rPr>
              <w:t>与21个省、市地区签订框架合作协议</w:t>
            </w:r>
            <w:r>
              <w:rPr>
                <w:rFonts w:hint="eastAsia" w:hAnsi="仿宋_GB2312" w:cs="仿宋_GB2312"/>
                <w:bCs/>
                <w:sz w:val="24"/>
                <w:lang w:eastAsia="zh-CN"/>
              </w:rPr>
              <w:t>，</w:t>
            </w:r>
            <w:r>
              <w:rPr>
                <w:rFonts w:hint="eastAsia" w:cs="Times New Roman"/>
                <w:color w:val="000000"/>
                <w:sz w:val="24"/>
                <w:szCs w:val="24"/>
                <w:lang w:val="en-US" w:eastAsia="zh-CN"/>
              </w:rPr>
              <w:t>连续四年入选深圳市十大民生实事。“圳品”工作以标准为引领助推产业提升，坚持</w:t>
            </w:r>
            <w:r>
              <w:rPr>
                <w:rFonts w:hint="eastAsia" w:ascii="仿宋_GB2312" w:hAnsi="宋体" w:eastAsia="仿宋_GB2312" w:cs="宋体"/>
                <w:color w:val="000000"/>
                <w:kern w:val="0"/>
                <w:sz w:val="24"/>
                <w:szCs w:val="24"/>
                <w:lang w:val="en-US" w:eastAsia="zh-CN"/>
              </w:rPr>
              <w:t>从产地源头到市场终端、从基地到餐桌进行全链条安全和质量把控</w:t>
            </w:r>
            <w:r>
              <w:rPr>
                <w:rFonts w:hint="eastAsia" w:hAnsi="宋体" w:cs="宋体"/>
                <w:color w:val="000000"/>
                <w:kern w:val="0"/>
                <w:sz w:val="24"/>
                <w:szCs w:val="24"/>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cs="Times New Roman"/>
                <w:color w:val="000000"/>
                <w:sz w:val="24"/>
                <w:szCs w:val="24"/>
                <w:lang w:val="en-US" w:eastAsia="zh-CN"/>
              </w:rPr>
            </w:pPr>
            <w:r>
              <w:rPr>
                <w:rFonts w:hint="eastAsia" w:cs="Times New Roman"/>
                <w:color w:val="000000"/>
                <w:sz w:val="24"/>
                <w:szCs w:val="24"/>
                <w:lang w:val="en-US" w:eastAsia="zh-CN"/>
              </w:rPr>
              <w:t>截至2025年8月，累计发布“圳品”标准842项，上市销售“圳品”2166个（其中深圳对口地区“圳品”累计达到473个），产品范围辐射全国29省163市432县921个基地，涵盖32大类279个品种，覆盖百姓餐桌日常主要的食品及食用农产品。目前“圳品”走进天虹、华润万家、钱大妈、山姆等深圳主流连锁商超门店，圳帮扶、广视优品、本来生活网等电商平台和各大餐饮渠道超1000家。</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cs="Times New Roman"/>
                <w:color w:val="000000"/>
                <w:sz w:val="24"/>
                <w:szCs w:val="24"/>
                <w:lang w:val="en-US" w:eastAsia="zh-CN"/>
              </w:rPr>
            </w:pPr>
            <w:r>
              <w:rPr>
                <w:rFonts w:hint="eastAsia" w:cs="Times New Roman"/>
                <w:color w:val="000000"/>
                <w:sz w:val="24"/>
                <w:szCs w:val="24"/>
                <w:lang w:val="en-US" w:eastAsia="zh-CN"/>
              </w:rPr>
              <w:t>“圳品”已取得的成效和相关经验获得国家高度认可，</w:t>
            </w:r>
            <w:r>
              <w:rPr>
                <w:rFonts w:hint="eastAsia" w:ascii="仿宋_GB2312" w:hAnsi="宋体" w:eastAsia="仿宋_GB2312" w:cs="宋体"/>
                <w:color w:val="000000"/>
                <w:kern w:val="0"/>
                <w:sz w:val="24"/>
                <w:szCs w:val="24"/>
                <w:lang w:eastAsia="zh-CN"/>
              </w:rPr>
              <w:t>被国家发改委列入关于推广借鉴深圳经济特区创新举措和经验做法的47条经验之一</w:t>
            </w:r>
            <w:r>
              <w:rPr>
                <w:rFonts w:hint="eastAsia" w:hAnsi="宋体" w:cs="宋体"/>
                <w:color w:val="000000"/>
                <w:kern w:val="0"/>
                <w:sz w:val="24"/>
                <w:szCs w:val="24"/>
                <w:lang w:eastAsia="zh-CN"/>
              </w:rPr>
              <w:t>，</w:t>
            </w:r>
            <w:r>
              <w:rPr>
                <w:rFonts w:hint="eastAsia" w:cs="Times New Roman"/>
                <w:color w:val="000000"/>
                <w:sz w:val="24"/>
                <w:szCs w:val="24"/>
                <w:lang w:val="en-US" w:eastAsia="zh-CN"/>
              </w:rPr>
              <w:t>并评为全国消费帮扶助力乡村振兴优秀典型案例；被国家乡村振兴局列为推介社会帮扶助力巩固拓展脱贫攻坚成果同</w:t>
            </w:r>
            <w:bookmarkStart w:id="0" w:name="_GoBack"/>
            <w:bookmarkEnd w:id="0"/>
            <w:r>
              <w:rPr>
                <w:rFonts w:hint="eastAsia" w:cs="Times New Roman"/>
                <w:color w:val="000000"/>
                <w:sz w:val="24"/>
                <w:szCs w:val="24"/>
                <w:lang w:val="en-US" w:eastAsia="zh-CN"/>
              </w:rPr>
              <w:t>乡村振兴有效衔接典型案例。五次登上央视报道，入选由2024年国家市场监督管理总局组织编写、人民教育出版社出版的中小学生质量教育读本。</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cs="Times New Roman"/>
                <w:color w:val="000000"/>
                <w:sz w:val="24"/>
                <w:szCs w:val="24"/>
                <w:lang w:val="en-US" w:eastAsia="zh-CN"/>
              </w:rPr>
            </w:pPr>
            <w:r>
              <w:rPr>
                <w:rFonts w:hint="eastAsia" w:cs="Times New Roman"/>
                <w:color w:val="000000"/>
                <w:sz w:val="24"/>
                <w:szCs w:val="24"/>
                <w:lang w:val="en-US" w:eastAsia="zh-CN"/>
              </w:rPr>
              <w:t>2.深圳作为超大型城市，全市95%的食用农产品、85%的食品和100%的粮食来源外地，输入性风险大，食品安全链条长、环节多，监管难度大。在此背景下，食品及食用农产品定量抽检作为食品安全监管技术支撑及防线，具有重大而深远的意义，是筑牢食品安全防线，提升食品安全保障水平和综合治理能力的有效手段。</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default" w:hAnsi="仿宋_GB2312" w:cs="仿宋_GB2312"/>
                <w:color w:val="000000"/>
                <w:sz w:val="24"/>
                <w:szCs w:val="24"/>
                <w:lang w:val="en-US" w:eastAsia="zh-CN"/>
              </w:rPr>
            </w:pPr>
            <w:r>
              <w:rPr>
                <w:rFonts w:hint="eastAsia" w:cs="Times New Roman"/>
                <w:color w:val="000000"/>
                <w:sz w:val="24"/>
                <w:szCs w:val="24"/>
                <w:lang w:val="en-US" w:eastAsia="zh-CN"/>
              </w:rPr>
              <w:t>“十四五”期间，深圳市持续推进食品及食用农产品抽检工作提质增效，食品抽检覆盖率从4.5批次/千人逐年递增、食品农产品抽检覆盖率从4.5批次/千人逐年递增，预计2025年食品抽检覆盖率将达到5批次/千人、食品农产品抽检覆盖率达5批次/千人。为贯彻落实《中华人民共和国食品安全法》《食品安全抽样检验管理办法》(国家市场监督管理总局令第15号)《食品安全抽样检验工作规范》(市监食检发〔2023〕76号)《食用农产品质量安全法》《农产品质量安全监测管理办法》（农业农村部令2022年第1号）等相关法律法规与政策要求，结合深圳市食品安全监管工作实际，本项目计划从任务类型的设置、抽检品种选择、检测项目确定等多维度综合研判，并根据各区常住人口及食品经营主体数量分配各区抽检任务，采用常规抽检加专项抽检双轨并行机制，通过“计划抽检+专项抽检+应急抽检”相结合的模式系统推进。将科学制定年度抽检计划，抽检任务分解至各区及各承检机构。同时结合《广东省市场监督管理局关于印发广东省“民生十大工程”五年行动计划食品安全领域实施方案（2023—2027年）的通知》的明确要求，聚焦容易引发系统性、区域性风险的重点领域、重点环节、重点主体开展食品及食用农产品抽检工作，将抽检量作为硬性指标，通过强有力的技术监管手段，切实防范食品安全隐患，全力保障市民“舌尖上的安全”，以求真务实的工作不断提升市民的获得感、幸福感和安全感。</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FEB8F"/>
    <w:rsid w:val="B75FDBE0"/>
    <w:rsid w:val="DBDFE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仿宋_GB2312" w:eastAsia="仿宋_GB2312"/>
      <w:sz w:val="30"/>
    </w:rPr>
  </w:style>
  <w:style w:type="paragraph" w:styleId="4">
    <w:name w:val="toc 5"/>
    <w:basedOn w:val="1"/>
    <w:next w:val="1"/>
    <w:semiHidden/>
    <w:qFormat/>
    <w:uiPriority w:val="0"/>
    <w:pPr>
      <w:ind w:left="1680" w:leftChars="800"/>
    </w:pPr>
  </w:style>
  <w:style w:type="character" w:customStyle="1" w:styleId="7">
    <w:name w:val="font11"/>
    <w:basedOn w:val="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2025-09-14T19:58:00Z</dcterms:created>
  <dc:creator>龙鸣</dc:creator>
  <cp:lastModifiedBy>龙鸣</cp:lastModifiedBy>
  <dcterms:modified xsi:type="dcterms:W3CDTF">2025-09-15T15:43:29Z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B37012B361675B21793DC66852F0444D</vt:lpwstr>
  </property>
</Properties>
</file>