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before="0" w:after="0" w:line="560" w:lineRule="exact"/>
        <w:jc w:val="both"/>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附件3</w:t>
      </w:r>
    </w:p>
    <w:p>
      <w:pPr>
        <w:pageBreakBefore w:val="0"/>
        <w:widowControl w:val="0"/>
        <w:kinsoku/>
        <w:wordWrap/>
        <w:overflowPunct/>
        <w:topLinePunct w:val="0"/>
        <w:autoSpaceDE/>
        <w:autoSpaceDN/>
        <w:bidi w:val="0"/>
        <w:adjustRightInd w:val="0"/>
        <w:snapToGrid w:val="0"/>
        <w:spacing w:before="0" w:after="0" w:line="579" w:lineRule="exact"/>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lang w:eastAsia="zh-CN"/>
        </w:rPr>
        <w:t>深圳市其</w:t>
      </w:r>
      <w:bookmarkStart w:id="0" w:name="br1"/>
      <w:bookmarkEnd w:id="0"/>
      <w:r>
        <w:rPr>
          <w:rFonts w:hint="eastAsia" w:ascii="方正小标宋简体" w:hAnsi="方正小标宋简体" w:eastAsia="方正小标宋简体" w:cs="方正小标宋简体"/>
          <w:b w:val="0"/>
          <w:bCs w:val="0"/>
          <w:color w:val="000000"/>
          <w:kern w:val="2"/>
          <w:sz w:val="44"/>
          <w:szCs w:val="44"/>
          <w:lang w:eastAsia="zh-CN"/>
        </w:rPr>
        <w:t>他食品（即食果蔬制品）</w:t>
      </w:r>
    </w:p>
    <w:p>
      <w:pPr>
        <w:pageBreakBefore w:val="0"/>
        <w:widowControl w:val="0"/>
        <w:kinsoku/>
        <w:wordWrap/>
        <w:overflowPunct/>
        <w:topLinePunct w:val="0"/>
        <w:autoSpaceDE/>
        <w:autoSpaceDN/>
        <w:bidi w:val="0"/>
        <w:adjustRightInd w:val="0"/>
        <w:snapToGrid w:val="0"/>
        <w:spacing w:before="0" w:after="0" w:line="579" w:lineRule="exact"/>
        <w:jc w:val="center"/>
        <w:textAlignment w:val="auto"/>
        <w:rPr>
          <w:rFonts w:ascii="黑体" w:hAnsi="黑体" w:eastAsia="黑体" w:cs="黑体"/>
          <w:b/>
          <w:bCs/>
          <w:color w:val="000000" w:themeColor="text1"/>
          <w:sz w:val="44"/>
          <w:szCs w:val="44"/>
        </w:rPr>
      </w:pPr>
      <w:r>
        <w:rPr>
          <w:rFonts w:hint="eastAsia" w:ascii="方正小标宋简体" w:hAnsi="方正小标宋简体" w:eastAsia="方正小标宋简体" w:cs="方正小标宋简体"/>
          <w:b w:val="0"/>
          <w:bCs w:val="0"/>
          <w:color w:val="000000"/>
          <w:kern w:val="2"/>
          <w:sz w:val="44"/>
          <w:szCs w:val="44"/>
          <w:lang w:eastAsia="zh-CN"/>
        </w:rPr>
        <w:t>生产许可审查方案（</w:t>
      </w:r>
      <w:r>
        <w:rPr>
          <w:rFonts w:hint="eastAsia" w:ascii="方正小标宋简体" w:hAnsi="方正小标宋简体" w:eastAsia="方正小标宋简体" w:cs="方正小标宋简体"/>
          <w:b w:val="0"/>
          <w:bCs w:val="0"/>
          <w:color w:val="000000"/>
          <w:kern w:val="2"/>
          <w:sz w:val="44"/>
          <w:szCs w:val="44"/>
          <w:lang w:val="en-US" w:eastAsia="zh-CN"/>
        </w:rPr>
        <w:t>征求意见稿</w:t>
      </w:r>
      <w:r>
        <w:rPr>
          <w:rFonts w:hint="eastAsia" w:ascii="方正小标宋简体" w:hAnsi="方正小标宋简体" w:eastAsia="方正小标宋简体" w:cs="方正小标宋简体"/>
          <w:b w:val="0"/>
          <w:bCs w:val="0"/>
          <w:color w:val="000000"/>
          <w:kern w:val="2"/>
          <w:sz w:val="44"/>
          <w:szCs w:val="44"/>
          <w:lang w:eastAsia="zh-CN"/>
        </w:rPr>
        <w:t>）</w:t>
      </w:r>
    </w:p>
    <w:p>
      <w:pPr>
        <w:pageBreakBefore w:val="0"/>
        <w:kinsoku/>
        <w:overflowPunct/>
        <w:topLinePunct w:val="0"/>
        <w:autoSpaceDE/>
        <w:autoSpaceDN/>
        <w:bidi w:val="0"/>
        <w:adjustRightInd w:val="0"/>
        <w:snapToGrid w:val="0"/>
        <w:spacing w:line="579" w:lineRule="exact"/>
        <w:textAlignment w:val="auto"/>
        <w:rPr>
          <w:rFonts w:ascii="方正小标宋简体" w:hAnsi="方正小标宋简体" w:eastAsia="方正小标宋简体" w:cs="方正小标宋简体"/>
          <w:color w:val="000000" w:themeColor="text1"/>
          <w:sz w:val="30"/>
          <w:szCs w:val="30"/>
        </w:rPr>
      </w:pP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第一章 总则</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第一条</w:t>
      </w:r>
      <w:r>
        <w:rPr>
          <w:rFonts w:hint="eastAsia" w:ascii="仿宋_GB2312" w:hAnsi="仿宋_GB2312" w:eastAsia="仿宋_GB2312" w:cs="仿宋_GB2312"/>
          <w:color w:val="000000"/>
          <w:kern w:val="0"/>
          <w:sz w:val="32"/>
          <w:szCs w:val="32"/>
          <w:lang w:eastAsia="en-US"/>
        </w:rPr>
        <w:t xml:space="preserve">  为进一步明确深圳市即食果蔬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品生产许可审查工作，规范</w:t>
      </w:r>
      <w:bookmarkStart w:id="2" w:name="_GoBack"/>
      <w:bookmarkEnd w:id="2"/>
      <w:r>
        <w:rPr>
          <w:rFonts w:hint="eastAsia" w:ascii="仿宋_GB2312" w:hAnsi="仿宋_GB2312" w:eastAsia="仿宋_GB2312" w:cs="仿宋_GB2312"/>
          <w:color w:val="000000"/>
          <w:kern w:val="0"/>
          <w:sz w:val="32"/>
          <w:szCs w:val="32"/>
          <w:lang w:eastAsia="en-US"/>
        </w:rPr>
        <w:t>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品生产许可行为，根据《中华人民共和国食品安全法》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《食品生产许可管理办法》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《食品生产许可审查通则》</w:t>
      </w:r>
      <w:r>
        <w:rPr>
          <w:rFonts w:hint="eastAsia" w:ascii="仿宋_GB2312" w:hAnsi="仿宋_GB2312" w:eastAsia="仿宋_GB2312" w:cs="仿宋_GB2312"/>
          <w:color w:val="000000"/>
          <w:kern w:val="0"/>
          <w:sz w:val="32"/>
          <w:szCs w:val="32"/>
          <w:lang w:eastAsia="zh-CN"/>
        </w:rPr>
        <w:t>、相关产品审查细则及相关食品安全国家标准（如：</w:t>
      </w:r>
      <w:r>
        <w:rPr>
          <w:rFonts w:hint="eastAsia" w:ascii="仿宋_GB2312" w:hAnsi="仿宋_GB2312" w:eastAsia="仿宋_GB2312" w:cs="仿宋_GB2312"/>
          <w:sz w:val="32"/>
          <w:szCs w:val="32"/>
          <w:lang w:val="en-US" w:eastAsia="zh-CN"/>
        </w:rPr>
        <w:t>《食品安全国家标准 食品生产通用卫生规范》（GB14881-2013）、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食品安全国家标准　即食鲜切果蔬加工卫生规范》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GB 31652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）等规定，结合我市实际，制定其他食品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即食果蔬</w:t>
      </w:r>
      <w:r>
        <w:rPr>
          <w:rFonts w:hint="eastAsia" w:ascii="仿宋_GB2312" w:hAnsi="仿宋_GB2312" w:eastAsia="仿宋_GB2312" w:cs="仿宋_GB2312"/>
          <w:color w:val="000000"/>
          <w:kern w:val="0"/>
          <w:sz w:val="32"/>
          <w:szCs w:val="32"/>
          <w:lang w:eastAsia="zh-CN"/>
        </w:rPr>
        <w:t>制品）</w:t>
      </w:r>
      <w:r>
        <w:rPr>
          <w:rFonts w:hint="eastAsia" w:ascii="仿宋_GB2312" w:hAnsi="仿宋_GB2312" w:eastAsia="仿宋_GB2312" w:cs="仿宋_GB2312"/>
          <w:color w:val="000000"/>
          <w:kern w:val="0"/>
          <w:sz w:val="32"/>
          <w:szCs w:val="32"/>
          <w:lang w:eastAsia="en-US"/>
        </w:rPr>
        <w:t>生产许可审查方案</w:t>
      </w:r>
      <w:r>
        <w:rPr>
          <w:rFonts w:hint="eastAsia" w:ascii="仿宋_GB2312" w:hAnsi="仿宋_GB2312" w:eastAsia="仿宋_GB2312" w:cs="仿宋_GB2312"/>
          <w:color w:val="000000"/>
          <w:kern w:val="0"/>
          <w:sz w:val="32"/>
          <w:szCs w:val="32"/>
          <w:lang w:eastAsia="zh-CN"/>
        </w:rPr>
        <w:t>（以下简称方案）</w:t>
      </w:r>
      <w:r>
        <w:rPr>
          <w:rFonts w:hint="eastAsia" w:ascii="仿宋_GB2312" w:hAnsi="仿宋_GB2312" w:eastAsia="仿宋_GB2312" w:cs="仿宋_GB2312"/>
          <w:color w:val="000000"/>
          <w:kern w:val="0"/>
          <w:sz w:val="32"/>
          <w:szCs w:val="32"/>
          <w:lang w:eastAsia="en-US"/>
        </w:rPr>
        <w:t>。</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en-US"/>
        </w:rPr>
        <w:t>第二条</w:t>
      </w:r>
      <w:r>
        <w:rPr>
          <w:rFonts w:hint="eastAsia" w:ascii="仿宋_GB2312" w:hAnsi="仿宋_GB2312" w:eastAsia="仿宋_GB2312" w:cs="仿宋_GB2312"/>
          <w:color w:val="000000"/>
          <w:kern w:val="0"/>
          <w:sz w:val="32"/>
          <w:szCs w:val="32"/>
          <w:lang w:eastAsia="en-US"/>
        </w:rPr>
        <w:t xml:space="preserve">  本方案中</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lang w:eastAsia="en-US"/>
        </w:rPr>
        <w:t>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w:t>
      </w:r>
      <w:r>
        <w:rPr>
          <w:rFonts w:hint="eastAsia" w:ascii="仿宋_GB2312" w:hAnsi="仿宋_GB2312" w:eastAsia="仿宋_GB2312" w:cs="仿宋_GB2312"/>
          <w:color w:val="000000"/>
          <w:kern w:val="0"/>
          <w:sz w:val="32"/>
          <w:szCs w:val="32"/>
          <w:lang w:eastAsia="zh-CN"/>
        </w:rPr>
        <w:t>分为</w:t>
      </w:r>
      <w:r>
        <w:rPr>
          <w:rFonts w:hint="eastAsia" w:ascii="仿宋_GB2312" w:hAnsi="仿宋_GB2312" w:eastAsia="仿宋_GB2312" w:cs="仿宋_GB2312"/>
          <w:color w:val="000000"/>
          <w:kern w:val="0"/>
          <w:sz w:val="32"/>
          <w:szCs w:val="32"/>
          <w:lang w:eastAsia="en-US"/>
        </w:rPr>
        <w:t>即食鲜切果蔬</w:t>
      </w:r>
      <w:r>
        <w:rPr>
          <w:rFonts w:hint="eastAsia" w:ascii="仿宋_GB2312" w:hAnsi="仿宋_GB2312" w:eastAsia="仿宋_GB2312" w:cs="仿宋_GB2312"/>
          <w:color w:val="000000"/>
          <w:kern w:val="0"/>
          <w:sz w:val="32"/>
          <w:szCs w:val="32"/>
          <w:lang w:eastAsia="zh-CN"/>
        </w:rPr>
        <w:t>及即食冷冻水果肉（泥）。</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即食鲜切果蔬是指以一种或多种新鲜水果或蔬菜为原料，采用预处理、清洗、去皮或不去皮、切分或不切分、消毒、漂洗、去除表面水等处理，密封包装后经冷链贮运销售，可直接入口食用的产品。也包括与其隔离的、预包装沙拉酱等直接入口酱汁的组合包装产品。</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即食冷冻水果肉（泥）是指</w:t>
      </w:r>
      <w:r>
        <w:rPr>
          <w:rFonts w:hint="default" w:ascii="仿宋_GB2312" w:hAnsi="仿宋_GB2312" w:eastAsia="仿宋_GB2312" w:cs="仿宋_GB2312"/>
          <w:color w:val="000000"/>
          <w:kern w:val="0"/>
          <w:sz w:val="32"/>
          <w:szCs w:val="32"/>
          <w:lang w:eastAsia="en-US"/>
        </w:rPr>
        <w:t>以</w:t>
      </w:r>
      <w:r>
        <w:rPr>
          <w:rFonts w:hint="default" w:ascii="仿宋_GB2312" w:hAnsi="仿宋_GB2312" w:eastAsia="仿宋_GB2312" w:cs="仿宋_GB2312"/>
          <w:color w:val="000000"/>
          <w:kern w:val="0"/>
          <w:sz w:val="32"/>
          <w:szCs w:val="32"/>
          <w:lang w:val="en-US" w:eastAsia="zh-CN"/>
        </w:rPr>
        <w:t>冷冻</w:t>
      </w:r>
      <w:r>
        <w:rPr>
          <w:rFonts w:hint="eastAsia" w:ascii="仿宋_GB2312" w:hAnsi="仿宋_GB2312" w:eastAsia="仿宋_GB2312" w:cs="仿宋_GB2312"/>
          <w:color w:val="000000"/>
          <w:kern w:val="0"/>
          <w:sz w:val="32"/>
          <w:szCs w:val="32"/>
          <w:lang w:val="en-US" w:eastAsia="zh-CN"/>
        </w:rPr>
        <w:t>水</w:t>
      </w:r>
      <w:r>
        <w:rPr>
          <w:rFonts w:hint="default" w:ascii="仿宋_GB2312" w:hAnsi="仿宋_GB2312" w:eastAsia="仿宋_GB2312" w:cs="仿宋_GB2312"/>
          <w:color w:val="000000"/>
          <w:kern w:val="0"/>
          <w:sz w:val="32"/>
          <w:szCs w:val="32"/>
          <w:lang w:val="en-US" w:eastAsia="zh-CN"/>
        </w:rPr>
        <w:t>果</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肉</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eastAsia="en-US"/>
        </w:rPr>
        <w:t>为原料，经</w:t>
      </w:r>
      <w:r>
        <w:rPr>
          <w:rFonts w:hint="default" w:ascii="仿宋_GB2312" w:hAnsi="仿宋_GB2312" w:eastAsia="仿宋_GB2312" w:cs="仿宋_GB2312"/>
          <w:color w:val="000000"/>
          <w:kern w:val="0"/>
          <w:sz w:val="32"/>
          <w:szCs w:val="32"/>
          <w:lang w:val="en-US" w:eastAsia="zh-CN"/>
        </w:rPr>
        <w:t>原料验收、解冻、</w:t>
      </w:r>
      <w:r>
        <w:rPr>
          <w:rFonts w:hint="eastAsia" w:ascii="仿宋_GB2312" w:hAnsi="仿宋_GB2312" w:eastAsia="仿宋_GB2312" w:cs="仿宋_GB2312"/>
          <w:color w:val="000000"/>
          <w:kern w:val="0"/>
          <w:sz w:val="32"/>
          <w:szCs w:val="32"/>
          <w:lang w:val="en-US" w:eastAsia="zh-CN"/>
        </w:rPr>
        <w:t>挑选</w:t>
      </w:r>
      <w:r>
        <w:rPr>
          <w:rFonts w:hint="default" w:ascii="仿宋_GB2312" w:hAnsi="仿宋_GB2312" w:eastAsia="仿宋_GB2312" w:cs="仿宋_GB2312"/>
          <w:color w:val="000000"/>
          <w:kern w:val="0"/>
          <w:sz w:val="32"/>
          <w:szCs w:val="32"/>
          <w:lang w:val="en-US" w:eastAsia="zh-CN"/>
        </w:rPr>
        <w:t>、打泥或不打泥、称量包装、</w:t>
      </w:r>
      <w:r>
        <w:rPr>
          <w:rFonts w:hint="eastAsia" w:ascii="仿宋_GB2312" w:hAnsi="仿宋_GB2312" w:eastAsia="仿宋_GB2312" w:cs="仿宋_GB2312"/>
          <w:color w:val="000000"/>
          <w:kern w:val="0"/>
          <w:sz w:val="32"/>
          <w:szCs w:val="32"/>
          <w:lang w:val="en-US" w:eastAsia="zh-CN"/>
        </w:rPr>
        <w:t>超高压</w:t>
      </w:r>
      <w:r>
        <w:rPr>
          <w:rFonts w:hint="default" w:ascii="仿宋_GB2312" w:hAnsi="仿宋_GB2312" w:eastAsia="仿宋_GB2312" w:cs="仿宋_GB2312"/>
          <w:color w:val="000000"/>
          <w:kern w:val="0"/>
          <w:sz w:val="32"/>
          <w:szCs w:val="32"/>
          <w:lang w:val="en-US" w:eastAsia="zh-CN"/>
        </w:rPr>
        <w:t>灭菌、冷冻</w:t>
      </w:r>
      <w:r>
        <w:rPr>
          <w:rFonts w:hint="default" w:ascii="仿宋_GB2312" w:hAnsi="仿宋_GB2312" w:eastAsia="仿宋_GB2312" w:cs="仿宋_GB2312"/>
          <w:color w:val="000000"/>
          <w:kern w:val="0"/>
          <w:sz w:val="32"/>
          <w:szCs w:val="32"/>
          <w:lang w:eastAsia="en-US"/>
        </w:rPr>
        <w:t>等工艺加工制成的</w:t>
      </w:r>
      <w:r>
        <w:rPr>
          <w:rFonts w:hint="default" w:ascii="仿宋_GB2312" w:hAnsi="仿宋_GB2312" w:eastAsia="仿宋_GB2312" w:cs="仿宋_GB2312"/>
          <w:color w:val="000000"/>
          <w:kern w:val="0"/>
          <w:sz w:val="32"/>
          <w:szCs w:val="32"/>
          <w:lang w:val="en-US" w:eastAsia="zh-CN"/>
        </w:rPr>
        <w:t>即食冷冻果肉或果泥</w:t>
      </w:r>
      <w:r>
        <w:rPr>
          <w:rFonts w:hint="eastAsia" w:ascii="仿宋_GB2312" w:hAnsi="仿宋_GB2312" w:eastAsia="仿宋_GB2312" w:cs="仿宋_GB2312"/>
          <w:color w:val="000000"/>
          <w:kern w:val="0"/>
          <w:sz w:val="32"/>
          <w:szCs w:val="32"/>
          <w:lang w:val="en-US" w:eastAsia="zh-CN"/>
        </w:rPr>
        <w:t>。</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第三条</w:t>
      </w:r>
      <w:r>
        <w:rPr>
          <w:rFonts w:hint="eastAsia" w:ascii="仿宋_GB2312" w:hAnsi="仿宋_GB2312" w:eastAsia="仿宋_GB2312" w:cs="仿宋_GB2312"/>
          <w:color w:val="000000"/>
          <w:kern w:val="0"/>
          <w:sz w:val="32"/>
          <w:szCs w:val="32"/>
          <w:lang w:eastAsia="en-US"/>
        </w:rPr>
        <w:t xml:space="preserve">  对于仅有包装场地、工序、设备，没有对产品实际制作工艺生产条件的企业，不予即食果蔬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品生产许可。</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将已取得《食品生产许可证》且可独立销售的产品组合包装成即食果蔬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品销售的，不纳入即食果蔬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品生产许可范围。</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现制现售即食果蔬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品经营门店不纳入即食果蔬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品生产许可。</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第四条</w:t>
      </w:r>
      <w:r>
        <w:rPr>
          <w:rFonts w:hint="eastAsia" w:ascii="仿宋_GB2312" w:hAnsi="仿宋_GB2312" w:eastAsia="仿宋_GB2312" w:cs="仿宋_GB2312"/>
          <w:color w:val="000000"/>
          <w:kern w:val="0"/>
          <w:sz w:val="32"/>
          <w:szCs w:val="32"/>
          <w:lang w:eastAsia="en-US"/>
        </w:rPr>
        <w:t xml:space="preserve">  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品的申证产品纳入《食品生产许可分类目录》其他食品类别的，申证食品类别名称为：其他食品，类别编号为：3101，品种明细填写“其他食品（即食果蔬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第五条</w:t>
      </w:r>
      <w:r>
        <w:rPr>
          <w:rFonts w:hint="eastAsia" w:ascii="仿宋_GB2312" w:hAnsi="仿宋_GB2312" w:eastAsia="仿宋_GB2312" w:cs="仿宋_GB2312"/>
          <w:color w:val="000000"/>
          <w:kern w:val="0"/>
          <w:sz w:val="32"/>
          <w:szCs w:val="32"/>
          <w:lang w:eastAsia="en-US"/>
        </w:rPr>
        <w:t xml:space="preserve">  国家市场监督管理总局即食果蔬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品的食品类别、品种明细进行调整的，从其新调整的分类实施许可。</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本方案中引用的文件、标准通过引用成为本方案的内容。凡是引用文件、标准，其最新版本（包括所有的修改单）适用于本方案。</w:t>
      </w:r>
    </w:p>
    <w:p>
      <w:pPr>
        <w:pStyle w:val="2"/>
        <w:pageBreakBefore w:val="0"/>
        <w:kinsoku/>
        <w:overflowPunct/>
        <w:topLinePunct w:val="0"/>
        <w:autoSpaceDE/>
        <w:autoSpaceDN/>
        <w:bidi w:val="0"/>
        <w:spacing w:before="120" w:after="240" w:line="579" w:lineRule="exact"/>
        <w:jc w:val="center"/>
        <w:textAlignment w:val="auto"/>
        <w:rPr>
          <w:rFonts w:ascii="仿宋" w:hAnsi="仿宋" w:eastAsia="仿宋" w:cs="仿宋"/>
          <w:color w:val="000000" w:themeColor="text1"/>
          <w:sz w:val="32"/>
          <w:szCs w:val="32"/>
        </w:rPr>
      </w:pPr>
      <w:r>
        <w:rPr>
          <w:rFonts w:hint="eastAsia" w:ascii="黑体" w:hAnsi="黑体" w:eastAsia="黑体"/>
          <w:b w:val="0"/>
          <w:bCs w:val="0"/>
          <w:color w:val="000000" w:themeColor="text1"/>
          <w:sz w:val="36"/>
          <w:szCs w:val="36"/>
        </w:rPr>
        <w:t>第二章  生产场所</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第六条</w:t>
      </w:r>
      <w:r>
        <w:rPr>
          <w:rFonts w:hint="eastAsia" w:ascii="仿宋_GB2312" w:hAnsi="仿宋_GB2312" w:eastAsia="仿宋_GB2312" w:cs="仿宋_GB2312"/>
          <w:color w:val="000000"/>
          <w:kern w:val="0"/>
          <w:sz w:val="32"/>
          <w:szCs w:val="32"/>
          <w:lang w:eastAsia="en-US"/>
        </w:rPr>
        <w:t xml:space="preserve">  生产场所选址、厂区布局、厂区道路、车间和库房应符合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14881</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生产场所相关规定。</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第七条</w:t>
      </w:r>
      <w:r>
        <w:rPr>
          <w:rFonts w:hint="eastAsia" w:ascii="仿宋_GB2312" w:hAnsi="仿宋_GB2312" w:eastAsia="仿宋_GB2312" w:cs="仿宋_GB2312"/>
          <w:color w:val="000000"/>
          <w:kern w:val="0"/>
          <w:sz w:val="32"/>
          <w:szCs w:val="32"/>
          <w:lang w:eastAsia="en-US"/>
        </w:rPr>
        <w:t xml:space="preserve">  即食鲜切果蔬生产场所根据清洁度分为：一般作业区（仓储区、预处理区等）、准清洁作业区（挑拣区、清洗区、蔬菜切分区、水果消毒区、水果漂洗区、外包装区等）、清洁作业区（水果切分区、蔬菜消毒区、蔬菜漂洗区、内包装区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zh-CN"/>
        </w:rPr>
        <w:t>即食冷冻水果肉（泥）</w:t>
      </w:r>
      <w:r>
        <w:rPr>
          <w:rFonts w:hint="eastAsia" w:ascii="仿宋_GB2312" w:hAnsi="仿宋_GB2312" w:eastAsia="仿宋_GB2312" w:cs="仿宋_GB2312"/>
          <w:color w:val="000000"/>
          <w:kern w:val="0"/>
          <w:sz w:val="32"/>
          <w:szCs w:val="32"/>
          <w:lang w:eastAsia="en-US"/>
        </w:rPr>
        <w:t>生产场所根据清洁度分为：一般作业区（仓储区、</w:t>
      </w:r>
      <w:r>
        <w:rPr>
          <w:rFonts w:hint="eastAsia" w:ascii="仿宋_GB2312" w:hAnsi="仿宋_GB2312" w:eastAsia="仿宋_GB2312" w:cs="仿宋_GB2312"/>
          <w:color w:val="000000"/>
          <w:kern w:val="0"/>
          <w:sz w:val="32"/>
          <w:szCs w:val="32"/>
          <w:lang w:eastAsia="zh-CN"/>
        </w:rPr>
        <w:t>拆包</w:t>
      </w:r>
      <w:r>
        <w:rPr>
          <w:rFonts w:hint="eastAsia" w:ascii="仿宋_GB2312" w:hAnsi="仿宋_GB2312" w:eastAsia="仿宋_GB2312" w:cs="仿宋_GB2312"/>
          <w:color w:val="000000"/>
          <w:kern w:val="0"/>
          <w:sz w:val="32"/>
          <w:szCs w:val="32"/>
          <w:lang w:eastAsia="en-US"/>
        </w:rPr>
        <w:t>区</w:t>
      </w:r>
      <w:r>
        <w:rPr>
          <w:rFonts w:hint="eastAsia" w:ascii="仿宋_GB2312" w:hAnsi="仿宋_GB2312" w:eastAsia="仿宋_GB2312" w:cs="仿宋_GB2312"/>
          <w:color w:val="000000"/>
          <w:kern w:val="0"/>
          <w:sz w:val="32"/>
          <w:szCs w:val="32"/>
          <w:lang w:eastAsia="zh-CN"/>
        </w:rPr>
        <w:t>、灭菌区、外包区</w:t>
      </w:r>
      <w:r>
        <w:rPr>
          <w:rFonts w:hint="eastAsia" w:ascii="仿宋_GB2312" w:hAnsi="仿宋_GB2312" w:eastAsia="仿宋_GB2312" w:cs="仿宋_GB2312"/>
          <w:color w:val="000000"/>
          <w:kern w:val="0"/>
          <w:sz w:val="32"/>
          <w:szCs w:val="32"/>
          <w:lang w:eastAsia="en-US"/>
        </w:rPr>
        <w:t>等）、准清洁作业区（</w:t>
      </w:r>
      <w:r>
        <w:rPr>
          <w:rFonts w:hint="eastAsia" w:ascii="仿宋_GB2312" w:hAnsi="仿宋_GB2312" w:eastAsia="仿宋_GB2312" w:cs="仿宋_GB2312"/>
          <w:color w:val="000000"/>
          <w:kern w:val="0"/>
          <w:sz w:val="32"/>
          <w:szCs w:val="32"/>
          <w:lang w:eastAsia="zh-CN"/>
        </w:rPr>
        <w:t>解冻</w:t>
      </w:r>
      <w:r>
        <w:rPr>
          <w:rFonts w:hint="eastAsia" w:ascii="仿宋_GB2312" w:hAnsi="仿宋_GB2312" w:eastAsia="仿宋_GB2312" w:cs="仿宋_GB2312"/>
          <w:color w:val="000000"/>
          <w:kern w:val="0"/>
          <w:sz w:val="32"/>
          <w:szCs w:val="32"/>
          <w:lang w:eastAsia="en-US"/>
        </w:rPr>
        <w:t>区、</w:t>
      </w:r>
      <w:r>
        <w:rPr>
          <w:rFonts w:hint="eastAsia" w:ascii="仿宋_GB2312" w:hAnsi="仿宋_GB2312" w:eastAsia="仿宋_GB2312" w:cs="仿宋_GB2312"/>
          <w:color w:val="000000"/>
          <w:kern w:val="0"/>
          <w:sz w:val="32"/>
          <w:szCs w:val="32"/>
          <w:lang w:eastAsia="zh-CN"/>
        </w:rPr>
        <w:t>挑选</w:t>
      </w:r>
      <w:r>
        <w:rPr>
          <w:rFonts w:hint="eastAsia" w:ascii="仿宋_GB2312" w:hAnsi="仿宋_GB2312" w:eastAsia="仿宋_GB2312" w:cs="仿宋_GB2312"/>
          <w:color w:val="000000"/>
          <w:kern w:val="0"/>
          <w:sz w:val="32"/>
          <w:szCs w:val="32"/>
          <w:lang w:eastAsia="en-US"/>
        </w:rPr>
        <w:t>区、</w:t>
      </w:r>
      <w:r>
        <w:rPr>
          <w:rFonts w:hint="eastAsia" w:ascii="仿宋_GB2312" w:hAnsi="仿宋_GB2312" w:eastAsia="仿宋_GB2312" w:cs="仿宋_GB2312"/>
          <w:color w:val="000000"/>
          <w:kern w:val="0"/>
          <w:sz w:val="32"/>
          <w:szCs w:val="32"/>
          <w:lang w:eastAsia="zh-CN"/>
        </w:rPr>
        <w:t>打泥区、内</w:t>
      </w:r>
      <w:r>
        <w:rPr>
          <w:rFonts w:hint="eastAsia" w:ascii="仿宋_GB2312" w:hAnsi="仿宋_GB2312" w:eastAsia="仿宋_GB2312" w:cs="仿宋_GB2312"/>
          <w:color w:val="000000"/>
          <w:kern w:val="0"/>
          <w:sz w:val="32"/>
          <w:szCs w:val="32"/>
          <w:lang w:eastAsia="en-US"/>
        </w:rPr>
        <w:t>包装区等）。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各区之间应根据生产流程、生产操作需要和清洁度的要求采取有效隔离措施，防止交叉污染。</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en-US"/>
        </w:rPr>
        <w:t>准清洁作业区温度应不高于10℃，清洁作业区温度应不高于5℃。清洁作业区应加装初效和中效的空气过滤装置并定期清洁，每小时换气不少于10次（适用于层高小于4.0m的车间），并保持正压。</w:t>
      </w:r>
      <w:r>
        <w:rPr>
          <w:rFonts w:hint="eastAsia" w:ascii="仿宋_GB2312" w:hAnsi="仿宋_GB2312" w:eastAsia="仿宋_GB2312" w:cs="仿宋_GB2312"/>
          <w:color w:val="000000"/>
          <w:kern w:val="0"/>
          <w:sz w:val="32"/>
          <w:szCs w:val="32"/>
          <w:lang w:eastAsia="zh-CN"/>
        </w:rPr>
        <w:t>即食冷冻水果肉（泥）产品的因原料处于冷冻状态且包装后经高压杀菌，该产品的准清洁作业区温度可不高于</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eastAsia="en-US"/>
        </w:rPr>
        <w:t>℃</w:t>
      </w:r>
      <w:r>
        <w:rPr>
          <w:rFonts w:hint="eastAsia" w:ascii="仿宋_GB2312" w:hAnsi="仿宋_GB2312" w:eastAsia="仿宋_GB2312" w:cs="仿宋_GB2312"/>
          <w:color w:val="000000"/>
          <w:kern w:val="0"/>
          <w:sz w:val="32"/>
          <w:szCs w:val="32"/>
          <w:lang w:eastAsia="zh-CN"/>
        </w:rPr>
        <w:t>。</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第八条</w:t>
      </w:r>
      <w:r>
        <w:rPr>
          <w:rFonts w:hint="eastAsia" w:ascii="仿宋_GB2312" w:hAnsi="仿宋_GB2312" w:eastAsia="仿宋_GB2312" w:cs="仿宋_GB2312"/>
          <w:color w:val="000000"/>
          <w:kern w:val="0"/>
          <w:sz w:val="32"/>
          <w:szCs w:val="32"/>
          <w:lang w:eastAsia="en-US"/>
        </w:rPr>
        <w:t xml:space="preserve">  原料库应根据不同原料特性设置适宜的贮存温度，需要冷藏的原料储存温度应不高于10℃。成品库储存</w:t>
      </w:r>
      <w:r>
        <w:rPr>
          <w:rFonts w:hint="eastAsia" w:ascii="仿宋_GB2312" w:hAnsi="仿宋_GB2312" w:eastAsia="仿宋_GB2312" w:cs="仿宋_GB2312"/>
          <w:color w:val="000000"/>
          <w:kern w:val="0"/>
          <w:sz w:val="32"/>
          <w:szCs w:val="32"/>
          <w:lang w:eastAsia="zh-CN"/>
        </w:rPr>
        <w:t>冷藏</w:t>
      </w:r>
      <w:r>
        <w:rPr>
          <w:rFonts w:hint="eastAsia" w:ascii="仿宋_GB2312" w:hAnsi="仿宋_GB2312" w:eastAsia="仿宋_GB2312" w:cs="仿宋_GB2312"/>
          <w:color w:val="000000"/>
          <w:kern w:val="0"/>
          <w:sz w:val="32"/>
          <w:szCs w:val="32"/>
          <w:lang w:eastAsia="en-US"/>
        </w:rPr>
        <w:t>温度应不高于5℃</w:t>
      </w:r>
      <w:r>
        <w:rPr>
          <w:rFonts w:hint="eastAsia" w:ascii="仿宋_GB2312" w:hAnsi="仿宋_GB2312" w:eastAsia="仿宋_GB2312" w:cs="仿宋_GB2312"/>
          <w:color w:val="000000"/>
          <w:kern w:val="0"/>
          <w:sz w:val="32"/>
          <w:szCs w:val="32"/>
          <w:lang w:eastAsia="zh-CN"/>
        </w:rPr>
        <w:t>和冷冻贮存温度不高于</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en-US"/>
        </w:rPr>
        <w:t>℃。</w:t>
      </w: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第三章  设备设施</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第九条</w:t>
      </w:r>
      <w:r>
        <w:rPr>
          <w:rFonts w:hint="eastAsia" w:ascii="仿宋_GB2312" w:hAnsi="仿宋_GB2312" w:eastAsia="仿宋_GB2312" w:cs="仿宋_GB2312"/>
          <w:color w:val="000000"/>
          <w:kern w:val="0"/>
          <w:sz w:val="32"/>
          <w:szCs w:val="32"/>
          <w:lang w:eastAsia="en-US"/>
        </w:rPr>
        <w:t xml:space="preserve">  供排水、清洁消毒、废弃物存放、个人卫生、通风、照明、温控等设施应符合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14881</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中的相关要求。清洁作业区的入口应设置二次更衣室，进入清洁作业区前设置手消毒设施。清洁作业区内应设置洗手、干手和消毒设施，供员工定时洗手和消毒。生产车间应配备臭氧等环境消毒设施。</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en-US"/>
        </w:rPr>
        <w:t>第十条</w:t>
      </w:r>
      <w:r>
        <w:rPr>
          <w:rFonts w:hint="eastAsia" w:ascii="仿宋_GB2312" w:hAnsi="仿宋_GB2312" w:eastAsia="仿宋_GB2312" w:cs="仿宋_GB2312"/>
          <w:color w:val="000000"/>
          <w:kern w:val="0"/>
          <w:sz w:val="32"/>
          <w:szCs w:val="32"/>
          <w:lang w:eastAsia="en-US"/>
        </w:rPr>
        <w:t>  生产设备根据实际工艺需要配备</w:t>
      </w:r>
      <w:r>
        <w:rPr>
          <w:rFonts w:hint="eastAsia" w:ascii="仿宋_GB2312" w:hAnsi="仿宋_GB2312" w:eastAsia="仿宋_GB2312" w:cs="仿宋_GB2312"/>
          <w:color w:val="000000"/>
          <w:kern w:val="0"/>
          <w:sz w:val="32"/>
          <w:szCs w:val="32"/>
          <w:lang w:eastAsia="zh-CN"/>
        </w:rPr>
        <w:t>。</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即食鲜切果蔬生产设备一般包括：原料预处理设备、清洗设备（不锈钢水槽、清洗机等）、去皮和切分设备（如切块机、去皮机、切菜机等）、消毒和漂洗设备、去除表面水设备（甩干机、离心机、沥水设备等）、包装设备（半自动或自动包装机、生产日期打印装置等）、计量称重设备、金属探测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zh-CN"/>
        </w:rPr>
        <w:t>即食冷冻水果肉（泥）</w:t>
      </w:r>
      <w:r>
        <w:rPr>
          <w:rFonts w:hint="eastAsia" w:ascii="仿宋_GB2312" w:hAnsi="仿宋_GB2312" w:eastAsia="仿宋_GB2312" w:cs="仿宋_GB2312"/>
          <w:color w:val="000000"/>
          <w:kern w:val="0"/>
          <w:sz w:val="32"/>
          <w:szCs w:val="32"/>
          <w:lang w:eastAsia="en-US"/>
        </w:rPr>
        <w:t>生产设备一般包括：</w:t>
      </w:r>
      <w:r>
        <w:rPr>
          <w:rFonts w:hint="eastAsia" w:ascii="仿宋_GB2312" w:hAnsi="仿宋_GB2312" w:eastAsia="仿宋_GB2312" w:cs="仿宋_GB2312"/>
          <w:color w:val="000000"/>
          <w:kern w:val="0"/>
          <w:sz w:val="32"/>
          <w:szCs w:val="32"/>
          <w:lang w:eastAsia="zh-CN"/>
        </w:rPr>
        <w:t>挑选设施、打泥设备</w:t>
      </w:r>
      <w:r>
        <w:rPr>
          <w:rFonts w:hint="eastAsia" w:ascii="仿宋_GB2312" w:hAnsi="仿宋_GB2312" w:eastAsia="仿宋_GB2312" w:cs="仿宋_GB2312"/>
          <w:color w:val="000000"/>
          <w:kern w:val="0"/>
          <w:sz w:val="32"/>
          <w:szCs w:val="32"/>
          <w:lang w:eastAsia="en-US"/>
        </w:rPr>
        <w:t>、包装设备（半自动或自动包装机、生产日期打印装置等）、计量称重设备、</w:t>
      </w:r>
      <w:r>
        <w:rPr>
          <w:rFonts w:hint="eastAsia" w:ascii="仿宋_GB2312" w:hAnsi="仿宋_GB2312" w:eastAsia="仿宋_GB2312" w:cs="仿宋_GB2312"/>
          <w:color w:val="000000"/>
          <w:kern w:val="0"/>
          <w:sz w:val="32"/>
          <w:szCs w:val="32"/>
          <w:lang w:eastAsia="zh-CN"/>
        </w:rPr>
        <w:t>异物检测设备、超高压灭菌设备</w:t>
      </w:r>
      <w:r>
        <w:rPr>
          <w:rFonts w:hint="eastAsia" w:ascii="仿宋_GB2312" w:hAnsi="仿宋_GB2312" w:eastAsia="仿宋_GB2312" w:cs="仿宋_GB2312"/>
          <w:color w:val="000000"/>
          <w:kern w:val="0"/>
          <w:sz w:val="32"/>
          <w:szCs w:val="32"/>
          <w:lang w:eastAsia="en-US"/>
        </w:rPr>
        <w:t>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用于监测、控制、记录的设备，应定期校准、维护。</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第十一条</w:t>
      </w:r>
      <w:r>
        <w:rPr>
          <w:rFonts w:hint="eastAsia" w:ascii="仿宋_GB2312" w:hAnsi="仿宋_GB2312" w:eastAsia="仿宋_GB2312" w:cs="仿宋_GB2312"/>
          <w:color w:val="000000"/>
          <w:kern w:val="0"/>
          <w:sz w:val="32"/>
          <w:szCs w:val="32"/>
          <w:lang w:eastAsia="en-US"/>
        </w:rPr>
        <w:t>　应配备足够数量的供水、清洗和消毒设施，以满足生产过程对水果和蔬菜的清洗消毒。</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第十二条</w:t>
      </w:r>
      <w:r>
        <w:rPr>
          <w:rFonts w:hint="eastAsia" w:ascii="仿宋_GB2312" w:hAnsi="仿宋_GB2312" w:eastAsia="仿宋_GB2312" w:cs="仿宋_GB2312"/>
          <w:color w:val="000000"/>
          <w:kern w:val="0"/>
          <w:sz w:val="32"/>
          <w:szCs w:val="32"/>
          <w:lang w:eastAsia="en-US"/>
        </w:rPr>
        <w:t>　生产车间和仓储区应配备温控设施，必要时配备湿度控制设施，并按照规定校准和维护。</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第十三条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 应具备检验室，配备满足过程检验和出厂检验的检验设备。检验设备和检验用计量器具应按照定期检定或校验。检验设备一般包括：1.分析天平(0.1mg)；2.天平(0.1g)；3.灭菌锅；4.微生物培养箱；5.显微镜；6.无菌室或超净工作台；7.干燥箱； 8.水浴锅等。</w:t>
      </w:r>
    </w:p>
    <w:p>
      <w:pPr>
        <w:pageBreakBefore w:val="0"/>
        <w:widowControl/>
        <w:kinsoku/>
        <w:wordWrap/>
        <w:overflowPunct/>
        <w:topLinePunct w:val="0"/>
        <w:autoSpaceDE/>
        <w:autoSpaceDN/>
        <w:bidi w:val="0"/>
        <w:adjustRightInd w:val="0"/>
        <w:snapToGrid/>
        <w:spacing w:before="120" w:after="240" w:line="579" w:lineRule="exact"/>
        <w:textAlignment w:val="auto"/>
        <w:rPr>
          <w:rFonts w:hint="eastAsia" w:ascii="仿宋_GB2312" w:hAnsi="仿宋_GB2312" w:eastAsia="仿宋_GB2312" w:cs="仿宋_GB2312"/>
          <w:color w:val="000000"/>
          <w:kern w:val="0"/>
          <w:sz w:val="32"/>
          <w:szCs w:val="32"/>
          <w:lang w:eastAsia="en-US"/>
        </w:rPr>
      </w:pP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第四章  设备布局与工艺流程</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第十四条</w:t>
      </w:r>
      <w:r>
        <w:rPr>
          <w:rFonts w:hint="eastAsia" w:ascii="仿宋_GB2312" w:hAnsi="仿宋_GB2312" w:eastAsia="仿宋_GB2312" w:cs="仿宋_GB2312"/>
          <w:color w:val="000000"/>
          <w:kern w:val="0"/>
          <w:sz w:val="32"/>
          <w:szCs w:val="32"/>
          <w:lang w:eastAsia="en-US"/>
        </w:rPr>
        <w:t>  设备布局与工艺流程应符合《审查通则》的相关要求。</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第十五条</w:t>
      </w:r>
      <w:r>
        <w:rPr>
          <w:rFonts w:hint="eastAsia" w:ascii="仿宋_GB2312" w:hAnsi="仿宋_GB2312" w:eastAsia="仿宋_GB2312" w:cs="仿宋_GB2312"/>
          <w:color w:val="000000"/>
          <w:kern w:val="0"/>
          <w:sz w:val="32"/>
          <w:szCs w:val="32"/>
          <w:lang w:eastAsia="en-US"/>
        </w:rPr>
        <w:t>  鲜切水果的主要工艺流程为预处理、清洗、消毒、漂洗、去皮或不去皮、切分、去除表面水、包装、金属探测、冷藏等。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鲜切蔬菜的主要工艺流程为预处理、清洗、去皮或不去皮、切分或不切分、消毒、漂洗、去除表面水、包装、金属探测、冷藏等。</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zh-CN"/>
        </w:rPr>
        <w:t>即食冷冻水果肉（泥）</w:t>
      </w:r>
      <w:r>
        <w:rPr>
          <w:rFonts w:hint="eastAsia" w:ascii="仿宋_GB2312" w:hAnsi="仿宋_GB2312" w:eastAsia="仿宋_GB2312" w:cs="仿宋_GB2312"/>
          <w:color w:val="000000"/>
          <w:kern w:val="0"/>
          <w:sz w:val="32"/>
          <w:szCs w:val="32"/>
          <w:lang w:eastAsia="en-US"/>
        </w:rPr>
        <w:t>的主要工艺流程为</w:t>
      </w:r>
      <w:r>
        <w:rPr>
          <w:rFonts w:hint="default" w:ascii="仿宋_GB2312" w:hAnsi="仿宋_GB2312" w:eastAsia="仿宋_GB2312" w:cs="仿宋_GB2312"/>
          <w:color w:val="000000"/>
          <w:kern w:val="0"/>
          <w:sz w:val="32"/>
          <w:szCs w:val="32"/>
          <w:lang w:val="en-US" w:eastAsia="zh-CN"/>
        </w:rPr>
        <w:t>解冻、</w:t>
      </w:r>
      <w:r>
        <w:rPr>
          <w:rFonts w:hint="eastAsia" w:ascii="仿宋_GB2312" w:hAnsi="仿宋_GB2312" w:eastAsia="仿宋_GB2312" w:cs="仿宋_GB2312"/>
          <w:color w:val="000000"/>
          <w:kern w:val="0"/>
          <w:sz w:val="32"/>
          <w:szCs w:val="32"/>
          <w:lang w:val="en-US" w:eastAsia="zh-CN"/>
        </w:rPr>
        <w:t>挑选</w:t>
      </w:r>
      <w:r>
        <w:rPr>
          <w:rFonts w:hint="default" w:ascii="仿宋_GB2312" w:hAnsi="仿宋_GB2312" w:eastAsia="仿宋_GB2312" w:cs="仿宋_GB2312"/>
          <w:color w:val="000000"/>
          <w:kern w:val="0"/>
          <w:sz w:val="32"/>
          <w:szCs w:val="32"/>
          <w:lang w:val="en-US" w:eastAsia="zh-CN"/>
        </w:rPr>
        <w:t>、打泥或不打泥、称量包装、</w:t>
      </w:r>
      <w:r>
        <w:rPr>
          <w:rFonts w:hint="eastAsia" w:ascii="仿宋_GB2312" w:hAnsi="仿宋_GB2312" w:eastAsia="仿宋_GB2312" w:cs="仿宋_GB2312"/>
          <w:color w:val="000000"/>
          <w:kern w:val="0"/>
          <w:sz w:val="32"/>
          <w:szCs w:val="32"/>
          <w:lang w:val="en-US" w:eastAsia="zh-CN"/>
        </w:rPr>
        <w:t>超高压</w:t>
      </w:r>
      <w:r>
        <w:rPr>
          <w:rFonts w:hint="default" w:ascii="仿宋_GB2312" w:hAnsi="仿宋_GB2312" w:eastAsia="仿宋_GB2312" w:cs="仿宋_GB2312"/>
          <w:color w:val="000000"/>
          <w:kern w:val="0"/>
          <w:sz w:val="32"/>
          <w:szCs w:val="32"/>
          <w:lang w:val="en-US" w:eastAsia="zh-CN"/>
        </w:rPr>
        <w:t>灭菌、冷冻</w:t>
      </w:r>
      <w:r>
        <w:rPr>
          <w:rFonts w:hint="default" w:ascii="仿宋_GB2312" w:hAnsi="仿宋_GB2312" w:eastAsia="仿宋_GB2312" w:cs="仿宋_GB2312"/>
          <w:color w:val="000000"/>
          <w:kern w:val="0"/>
          <w:sz w:val="32"/>
          <w:szCs w:val="32"/>
          <w:lang w:eastAsia="en-US"/>
        </w:rPr>
        <w:t>等</w:t>
      </w:r>
      <w:r>
        <w:rPr>
          <w:rFonts w:hint="eastAsia" w:ascii="仿宋_GB2312" w:hAnsi="仿宋_GB2312" w:eastAsia="仿宋_GB2312" w:cs="仿宋_GB2312"/>
          <w:color w:val="000000"/>
          <w:kern w:val="0"/>
          <w:sz w:val="32"/>
          <w:szCs w:val="32"/>
          <w:lang w:val="en-US" w:eastAsia="zh-CN"/>
        </w:rPr>
        <w:t>。</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第十六条</w:t>
      </w:r>
      <w:r>
        <w:rPr>
          <w:rFonts w:hint="eastAsia" w:ascii="仿宋_GB2312" w:hAnsi="仿宋_GB2312" w:eastAsia="仿宋_GB2312" w:cs="仿宋_GB2312"/>
          <w:color w:val="000000"/>
          <w:kern w:val="0"/>
          <w:sz w:val="32"/>
          <w:szCs w:val="32"/>
          <w:lang w:eastAsia="en-US"/>
        </w:rPr>
        <w:t>  应通过危害分析方法制定各生产工序所需的工艺文件，明确关键控制环节、技术参数等控制要求，有效监控并记录各项控制指标。</w:t>
      </w:r>
    </w:p>
    <w:p>
      <w:pPr>
        <w:pageBreakBefore w:val="0"/>
        <w:widowControl/>
        <w:kinsoku/>
        <w:wordWrap/>
        <w:overflowPunct/>
        <w:topLinePunct w:val="0"/>
        <w:autoSpaceDE/>
        <w:autoSpaceDN/>
        <w:bidi w:val="0"/>
        <w:adjustRightInd w:val="0"/>
        <w:snapToGrid/>
        <w:spacing w:before="120" w:after="240" w:line="579" w:lineRule="exact"/>
        <w:textAlignment w:val="auto"/>
        <w:rPr>
          <w:rFonts w:hint="eastAsia" w:ascii="仿宋_GB2312" w:hAnsi="仿宋_GB2312" w:eastAsia="仿宋_GB2312" w:cs="仿宋_GB2312"/>
          <w:color w:val="000000"/>
          <w:kern w:val="0"/>
          <w:sz w:val="32"/>
          <w:szCs w:val="32"/>
          <w:lang w:eastAsia="en-US"/>
        </w:rPr>
      </w:pP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第五章  人员管理</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第十七条</w:t>
      </w:r>
      <w:r>
        <w:rPr>
          <w:rFonts w:hint="eastAsia" w:ascii="仿宋_GB2312" w:hAnsi="仿宋_GB2312" w:eastAsia="仿宋_GB2312" w:cs="仿宋_GB2312"/>
          <w:color w:val="000000"/>
          <w:kern w:val="0"/>
          <w:sz w:val="32"/>
          <w:szCs w:val="32"/>
          <w:lang w:eastAsia="en-US"/>
        </w:rPr>
        <w:t>  应符合《审查通则》中人员要求、人员培训、人员健康管理制度的相关要求。</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ascii="仿宋" w:hAnsi="仿宋" w:eastAsia="仿宋" w:cs="仿宋"/>
          <w:color w:val="000000" w:themeColor="text1"/>
          <w:sz w:val="32"/>
          <w:szCs w:val="32"/>
        </w:rPr>
      </w:pPr>
      <w:r>
        <w:rPr>
          <w:rFonts w:hint="eastAsia" w:ascii="仿宋_GB2312" w:hAnsi="仿宋_GB2312" w:eastAsia="仿宋_GB2312" w:cs="仿宋_GB2312"/>
          <w:b/>
          <w:bCs/>
          <w:color w:val="000000"/>
          <w:kern w:val="0"/>
          <w:sz w:val="32"/>
          <w:szCs w:val="32"/>
          <w:lang w:eastAsia="en-US"/>
        </w:rPr>
        <w:t>第十八条</w:t>
      </w:r>
      <w:r>
        <w:rPr>
          <w:rFonts w:hint="eastAsia" w:ascii="仿宋_GB2312" w:hAnsi="仿宋_GB2312" w:eastAsia="仿宋_GB2312" w:cs="仿宋_GB2312"/>
          <w:color w:val="000000"/>
          <w:kern w:val="0"/>
          <w:sz w:val="32"/>
          <w:szCs w:val="32"/>
          <w:lang w:eastAsia="en-US"/>
        </w:rPr>
        <w:t>  应对从业人员开展上岗前和在岗期间的食品安全知识培训，并建立培训档案。应对食品安全管理人员、关键控制环节操作人员及其他相关从业人员进行上岗前考核，经考核合格后方能上岗。</w:t>
      </w: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第六章  管理制度</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第十九条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 进货查验记录制度应符合《审查通则》的相关要求。果蔬原料应符合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2762</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和</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2763</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等有关规定，食品添加剂的使用应符合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2760</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等有关规定，使用的洗涤剂和消毒剂应分别符合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14930.1</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和</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14930.2</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的规定，包装材料应符合相关食品安全国家标准的规定。</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第二十条</w:t>
      </w:r>
      <w:r>
        <w:rPr>
          <w:rFonts w:hint="eastAsia" w:ascii="仿宋_GB2312" w:hAnsi="仿宋_GB2312" w:eastAsia="仿宋_GB2312" w:cs="仿宋_GB2312"/>
          <w:color w:val="000000"/>
          <w:kern w:val="0"/>
          <w:sz w:val="32"/>
          <w:szCs w:val="32"/>
          <w:lang w:eastAsia="en-US"/>
        </w:rPr>
        <w:t>  应建立下列原料控制要求：</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（一）建立主要原料供应商审核制度，定期或者随机对主要原料供应商的食品安全状况进行检查评价、实地查验，并做好记录。</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（二）建立果蔬原料、食品添加剂和食品相关产品的采购、验收、运输和贮存等管理制度。果蔬原料应及时贮存，保持新鲜。相关记录保存期限不得少于产品保质期后六个月。</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（三）制定生产用水控制要求。与食品直接接触的生产用水、设备清洗用水和制冰等应符合《生活饮用水卫生标准》（GB 5749）的相关规定。必要时应根据产品的特点进行处理（如去离子法、离子交换法、反渗透法或其他适当的加工方法），以确保满足产品质量和工艺的要求。</w:t>
      </w:r>
    </w:p>
    <w:p>
      <w:pPr>
        <w:pageBreakBefore w:val="0"/>
        <w:widowControl/>
        <w:kinsoku/>
        <w:wordWrap/>
        <w:overflowPunct/>
        <w:topLinePunct w:val="0"/>
        <w:autoSpaceDE/>
        <w:autoSpaceDN/>
        <w:bidi w:val="0"/>
        <w:adjustRightInd w:val="0"/>
        <w:snapToGrid/>
        <w:spacing w:before="120" w:after="240" w:line="579" w:lineRule="exact"/>
        <w:ind w:firstLine="642"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第二十一条</w:t>
      </w:r>
      <w:r>
        <w:rPr>
          <w:rFonts w:hint="eastAsia" w:ascii="仿宋_GB2312" w:hAnsi="仿宋_GB2312" w:eastAsia="仿宋_GB2312" w:cs="仿宋_GB2312"/>
          <w:color w:val="000000"/>
          <w:kern w:val="0"/>
          <w:sz w:val="32"/>
          <w:szCs w:val="32"/>
          <w:lang w:eastAsia="en-US"/>
        </w:rPr>
        <w:t>  应当建立下列生产关键环节控制要求：</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（一）参照</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GB 31652</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中的附录A，制定清洁作业区、准清洁作业区微生物监控要求。</w:t>
      </w:r>
    </w:p>
    <w:p>
      <w:pPr>
        <w:pageBreakBefore w:val="0"/>
        <w:widowControl/>
        <w:kinsoku/>
        <w:wordWrap/>
        <w:overflowPunct/>
        <w:topLinePunct w:val="0"/>
        <w:autoSpaceDE/>
        <w:autoSpaceDN/>
        <w:bidi w:val="0"/>
        <w:adjustRightInd w:val="0"/>
        <w:snapToGrid/>
        <w:spacing w:before="120" w:after="240" w:line="579" w:lineRule="exact"/>
        <w:ind w:firstLine="640" w:firstLineChars="200"/>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二）定期对清洁作业区进行空气质量监测，每年应请有资质的第三方检验机构进行检测并出具空气洁净度的检测报告。在工艺设备安装完毕或重大改造后应对清洁作业区的空气洁净度进行监测，符合要求后方可投入生产。清洁作业区的空气洁净度要求和监控按照下表进行。</w:t>
      </w:r>
    </w:p>
    <w:tbl>
      <w:tblPr>
        <w:tblStyle w:val="5"/>
        <w:tblW w:w="8482" w:type="dxa"/>
        <w:jc w:val="center"/>
        <w:shd w:val="clear" w:color="auto" w:fill="FFFFFF"/>
        <w:tblLayout w:type="fixed"/>
        <w:tblCellMar>
          <w:top w:w="0" w:type="dxa"/>
          <w:left w:w="0" w:type="dxa"/>
          <w:bottom w:w="0" w:type="dxa"/>
          <w:right w:w="0" w:type="dxa"/>
        </w:tblCellMar>
      </w:tblPr>
      <w:tblGrid>
        <w:gridCol w:w="1207"/>
        <w:gridCol w:w="1352"/>
        <w:gridCol w:w="2091"/>
        <w:gridCol w:w="2504"/>
        <w:gridCol w:w="1328"/>
      </w:tblGrid>
      <w:tr>
        <w:tblPrEx>
          <w:tblCellMar>
            <w:top w:w="0" w:type="dxa"/>
            <w:left w:w="0" w:type="dxa"/>
            <w:bottom w:w="0" w:type="dxa"/>
            <w:right w:w="0" w:type="dxa"/>
          </w:tblCellMar>
        </w:tblPrEx>
        <w:trPr>
          <w:trHeight w:val="476" w:hRule="atLeast"/>
          <w:jc w:val="center"/>
        </w:trPr>
        <w:tc>
          <w:tcPr>
            <w:tcW w:w="1207"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项目</w:t>
            </w:r>
          </w:p>
        </w:tc>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内容</w:t>
            </w:r>
          </w:p>
        </w:tc>
        <w:tc>
          <w:tcPr>
            <w:tcW w:w="209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检测方法</w:t>
            </w:r>
          </w:p>
        </w:tc>
        <w:tc>
          <w:tcPr>
            <w:tcW w:w="2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控制要求</w:t>
            </w:r>
          </w:p>
        </w:tc>
        <w:tc>
          <w:tcPr>
            <w:tcW w:w="1328"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监控频次</w:t>
            </w:r>
          </w:p>
        </w:tc>
      </w:tr>
      <w:tr>
        <w:tblPrEx>
          <w:shd w:val="clear" w:color="auto" w:fill="FFFFFF"/>
          <w:tblCellMar>
            <w:top w:w="0" w:type="dxa"/>
            <w:left w:w="0" w:type="dxa"/>
            <w:bottom w:w="0" w:type="dxa"/>
            <w:right w:w="0" w:type="dxa"/>
          </w:tblCellMar>
        </w:tblPrEx>
        <w:trPr>
          <w:trHeight w:val="476" w:hRule="atLeast"/>
          <w:jc w:val="center"/>
        </w:trPr>
        <w:tc>
          <w:tcPr>
            <w:tcW w:w="1207"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微生物最大允许数</w:t>
            </w:r>
          </w:p>
        </w:tc>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浮游菌</w:t>
            </w:r>
          </w:p>
        </w:tc>
        <w:tc>
          <w:tcPr>
            <w:tcW w:w="209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GB/T 16293</w:t>
            </w:r>
          </w:p>
        </w:tc>
        <w:tc>
          <w:tcPr>
            <w:tcW w:w="2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≤200 cfu/m</w:t>
            </w:r>
            <w:r>
              <w:rPr>
                <w:rFonts w:hint="eastAsia" w:ascii="仿宋_GB2312" w:hAnsi="微软雅黑" w:eastAsia="仿宋_GB2312" w:cs="宋体"/>
                <w:color w:val="000000" w:themeColor="text1"/>
                <w:kern w:val="0"/>
                <w:sz w:val="20"/>
                <w:szCs w:val="20"/>
                <w:vertAlign w:val="superscript"/>
              </w:rPr>
              <w:t>3</w:t>
            </w:r>
          </w:p>
        </w:tc>
        <w:tc>
          <w:tcPr>
            <w:tcW w:w="1328"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1次/月</w:t>
            </w:r>
          </w:p>
        </w:tc>
      </w:tr>
      <w:tr>
        <w:tblPrEx>
          <w:shd w:val="clear" w:color="auto" w:fill="FFFFFF"/>
          <w:tblCellMar>
            <w:top w:w="0" w:type="dxa"/>
            <w:left w:w="0" w:type="dxa"/>
            <w:bottom w:w="0" w:type="dxa"/>
            <w:right w:w="0" w:type="dxa"/>
          </w:tblCellMar>
        </w:tblPrEx>
        <w:trPr>
          <w:trHeight w:val="476" w:hRule="atLeast"/>
          <w:jc w:val="center"/>
        </w:trPr>
        <w:tc>
          <w:tcPr>
            <w:tcW w:w="12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before="120" w:after="240" w:line="579" w:lineRule="exact"/>
              <w:jc w:val="left"/>
              <w:textAlignment w:val="auto"/>
              <w:rPr>
                <w:rFonts w:ascii="微软雅黑" w:hAnsi="微软雅黑" w:eastAsia="微软雅黑" w:cs="宋体"/>
                <w:color w:val="000000" w:themeColor="text1"/>
                <w:kern w:val="0"/>
                <w:sz w:val="20"/>
                <w:szCs w:val="20"/>
              </w:rPr>
            </w:pPr>
          </w:p>
        </w:tc>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沉降菌</w:t>
            </w:r>
          </w:p>
        </w:tc>
        <w:tc>
          <w:tcPr>
            <w:tcW w:w="209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GB/T 16294</w:t>
            </w:r>
          </w:p>
        </w:tc>
        <w:tc>
          <w:tcPr>
            <w:tcW w:w="2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≤100cfu/4h (φ90mm)</w:t>
            </w:r>
          </w:p>
        </w:tc>
        <w:tc>
          <w:tcPr>
            <w:tcW w:w="1328"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1次/周</w:t>
            </w:r>
          </w:p>
        </w:tc>
      </w:tr>
      <w:tr>
        <w:tblPrEx>
          <w:shd w:val="clear" w:color="auto" w:fill="FFFFFF"/>
          <w:tblCellMar>
            <w:top w:w="0" w:type="dxa"/>
            <w:left w:w="0" w:type="dxa"/>
            <w:bottom w:w="0" w:type="dxa"/>
            <w:right w:w="0" w:type="dxa"/>
          </w:tblCellMar>
        </w:tblPrEx>
        <w:trPr>
          <w:trHeight w:val="476" w:hRule="atLeast"/>
          <w:jc w:val="center"/>
        </w:trPr>
        <w:tc>
          <w:tcPr>
            <w:tcW w:w="1207" w:type="dxa"/>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before="120" w:after="240" w:line="579" w:lineRule="exact"/>
              <w:jc w:val="left"/>
              <w:textAlignment w:val="auto"/>
              <w:rPr>
                <w:rFonts w:ascii="微软雅黑" w:hAnsi="微软雅黑" w:eastAsia="微软雅黑" w:cs="宋体"/>
                <w:color w:val="000000" w:themeColor="text1"/>
                <w:kern w:val="0"/>
                <w:sz w:val="20"/>
                <w:szCs w:val="20"/>
              </w:rPr>
            </w:pPr>
          </w:p>
        </w:tc>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表面微生物</w:t>
            </w:r>
          </w:p>
        </w:tc>
        <w:tc>
          <w:tcPr>
            <w:tcW w:w="209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参照GB 15982采样，按GB 4789.2计数</w:t>
            </w:r>
          </w:p>
        </w:tc>
        <w:tc>
          <w:tcPr>
            <w:tcW w:w="2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≤50cfu/皿(φ55mm)</w:t>
            </w:r>
          </w:p>
        </w:tc>
        <w:tc>
          <w:tcPr>
            <w:tcW w:w="1328"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ageBreakBefore w:val="0"/>
              <w:widowControl/>
              <w:kinsoku/>
              <w:overflowPunct/>
              <w:topLinePunct w:val="0"/>
              <w:autoSpaceDE/>
              <w:autoSpaceDN/>
              <w:bidi w:val="0"/>
              <w:spacing w:before="120" w:after="240" w:line="579" w:lineRule="exact"/>
              <w:jc w:val="center"/>
              <w:textAlignment w:val="auto"/>
              <w:rPr>
                <w:rFonts w:ascii="微软雅黑" w:hAnsi="微软雅黑" w:eastAsia="微软雅黑" w:cs="宋体"/>
                <w:color w:val="000000" w:themeColor="text1"/>
                <w:kern w:val="0"/>
                <w:sz w:val="24"/>
              </w:rPr>
            </w:pPr>
            <w:r>
              <w:rPr>
                <w:rFonts w:hint="eastAsia" w:ascii="仿宋_GB2312" w:hAnsi="微软雅黑" w:eastAsia="仿宋_GB2312" w:cs="宋体"/>
                <w:color w:val="000000" w:themeColor="text1"/>
                <w:kern w:val="0"/>
                <w:sz w:val="24"/>
              </w:rPr>
              <w:t>1次/周</w:t>
            </w:r>
          </w:p>
        </w:tc>
      </w:tr>
    </w:tbl>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（三）应对新鲜果蔬进行挑拣和分选并清洗干净；去除表面水工艺应确保果蔬表面无明显水珠。应控制各生产工序的操作、转序时间，保证半成品、成品的新鲜。</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（四）制定清洁和消毒计划，包括所有设备、贮存区域、加工区域、空气系统和水贮存容器的清洗消毒程序和时间表，以保证即食果蔬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品加工场所、设备和设施等清洁卫生，防止产品污染。</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根据即食果蔬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工艺特点选择合理的清洁消毒方法、消毒液浓度和消毒时间，消毒水温应不高于5℃。应定时监测末次漂洗水的消毒液浓度，尽可能降低消毒液残留。合理使用消毒剂并进行地面和设备的清洗和消毒。用于清洁和消毒的设备、用具应放置在专用场所妥善保存。</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（五）应制定即食冷冻水果肉（泥）的超高温灭菌的控制要求</w:t>
      </w:r>
      <w:r>
        <w:rPr>
          <w:rFonts w:hint="eastAsia" w:ascii="仿宋_GB2312" w:hAnsi="仿宋_GB2312" w:eastAsia="仿宋_GB2312" w:cs="仿宋_GB2312"/>
          <w:color w:val="000000"/>
          <w:kern w:val="0"/>
          <w:sz w:val="32"/>
          <w:szCs w:val="32"/>
          <w:lang w:eastAsia="en-US"/>
        </w:rPr>
        <w:t>，</w:t>
      </w:r>
      <w:r>
        <w:rPr>
          <w:rFonts w:hint="eastAsia" w:ascii="仿宋_GB2312" w:hAnsi="仿宋_GB2312" w:eastAsia="仿宋_GB2312" w:cs="仿宋_GB2312"/>
          <w:color w:val="000000"/>
          <w:kern w:val="0"/>
          <w:sz w:val="32"/>
          <w:szCs w:val="32"/>
          <w:lang w:eastAsia="zh-CN"/>
        </w:rPr>
        <w:t>对灭菌压力及灭菌时间</w:t>
      </w:r>
      <w:r>
        <w:rPr>
          <w:rFonts w:hint="eastAsia" w:ascii="仿宋_GB2312" w:hAnsi="仿宋_GB2312" w:eastAsia="仿宋_GB2312" w:cs="仿宋_GB2312"/>
          <w:color w:val="000000"/>
          <w:kern w:val="0"/>
          <w:sz w:val="32"/>
          <w:szCs w:val="32"/>
          <w:lang w:eastAsia="en-US"/>
        </w:rPr>
        <w:t>等参数</w:t>
      </w:r>
      <w:r>
        <w:rPr>
          <w:rFonts w:hint="eastAsia" w:ascii="仿宋_GB2312" w:hAnsi="仿宋_GB2312" w:eastAsia="仿宋_GB2312" w:cs="仿宋_GB2312"/>
          <w:color w:val="000000"/>
          <w:kern w:val="0"/>
          <w:sz w:val="32"/>
          <w:szCs w:val="32"/>
          <w:lang w:eastAsia="zh-CN"/>
        </w:rPr>
        <w:t>进行监控并保存相关记录。经拆包后进入准清洁作业区的冷冻水果肉（泥）温度不高于</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en-US"/>
        </w:rPr>
        <w:t>℃</w:t>
      </w:r>
      <w:r>
        <w:rPr>
          <w:rFonts w:hint="eastAsia" w:ascii="仿宋_GB2312" w:hAnsi="仿宋_GB2312" w:eastAsia="仿宋_GB2312" w:cs="仿宋_GB2312"/>
          <w:color w:val="000000"/>
          <w:kern w:val="0"/>
          <w:sz w:val="32"/>
          <w:szCs w:val="32"/>
          <w:lang w:eastAsia="zh-CN"/>
        </w:rPr>
        <w:t>，且从拆包后挑选、包装整个过程时间不多于</w:t>
      </w:r>
      <w:r>
        <w:rPr>
          <w:rFonts w:hint="eastAsia" w:ascii="仿宋_GB2312" w:hAnsi="仿宋_GB2312" w:eastAsia="仿宋_GB2312" w:cs="仿宋_GB2312"/>
          <w:color w:val="000000"/>
          <w:kern w:val="0"/>
          <w:sz w:val="32"/>
          <w:szCs w:val="32"/>
          <w:lang w:val="en-US" w:eastAsia="zh-CN"/>
        </w:rPr>
        <w:t>90min。</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（六）应对外包装间的温度及物料周转时间进行控制，避免因失温对产品安全及质量造成影响。</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第二十二条</w:t>
      </w:r>
      <w:r>
        <w:rPr>
          <w:rFonts w:hint="eastAsia" w:ascii="仿宋_GB2312" w:hAnsi="仿宋_GB2312" w:eastAsia="仿宋_GB2312" w:cs="仿宋_GB2312"/>
          <w:color w:val="000000"/>
          <w:kern w:val="0"/>
          <w:sz w:val="32"/>
          <w:szCs w:val="32"/>
          <w:lang w:eastAsia="en-US"/>
        </w:rPr>
        <w:t>  应制定下列检验管理制度：</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一）建立原料检验管理制度。根据生产需求和保证质量安全的需要，制定原料检验（或验收）管理制度，规定食品原料、食品添加剂和食品相关产品的进货检验（或验收）标准、程序和判定准则。对无法提供合格证明的食品原料，应当按照食品安全标准进行检验，合格后方可使用。新鲜水果、蔬菜进厂应每批进行农药残留检测（原料供应商提供合格证明文件的除外）。</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（二）建立半成品检验管理制度。根据生产过程控制需求，设立监控半成品食品安全的检验管理制度。</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三）建立成品出厂检验管理制度。成品出厂检验项目应符合产品执行标准的规定。标准未规定的，应综合考虑产品特性、工艺特点、原料控制情况等因素合理确定检验项目。一般情况下，自行出厂检验项目包括感官、净含量、标签等项目。应定期对成品中的致病菌、重金属等项目进行监测。每年应按产品执行标准至少进行2次全项目检验。</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每年应与有资质的第三方检验机构至少进行一次检验能力验证。企业可使用的非国标方法进行检验，但应保持检测结果准确。企业使用的非国标方法应至少每半年与国家标准规定的检验方法进行比对或者验证。非国标方法结果呈阳性时，应使用国家标准规定的检验方法进行复检确认。</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企业可以使用快速检测方法及设备进行产品检验，但应保证数据准确。应定期与食品安全国家标准规定的检验方法进行比对或者验证，当检验结果呈阳性或可疑时，应使用食品安全国家标准规定的检验方法进行确认。</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第二十三条</w:t>
      </w:r>
      <w:r>
        <w:rPr>
          <w:rFonts w:hint="eastAsia" w:ascii="仿宋_GB2312" w:hAnsi="仿宋_GB2312" w:eastAsia="仿宋_GB2312" w:cs="仿宋_GB2312"/>
          <w:color w:val="000000"/>
          <w:kern w:val="0"/>
          <w:sz w:val="32"/>
          <w:szCs w:val="32"/>
          <w:lang w:eastAsia="en-US"/>
        </w:rPr>
        <w:t>  应建立产品贮存和运输要求。明确原料及成品贮存的温度监控和记录要求、冷藏设备定期维护要求、食品冷链运输的温度监控和记录要求。与第三方物流签订运输协议的，明确查验第三方物流冷链资质要求，明确相关责任及保障食品安全的措施要求。</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即食鲜切果蔬</w:t>
      </w:r>
      <w:r>
        <w:rPr>
          <w:rFonts w:hint="eastAsia" w:ascii="仿宋_GB2312" w:hAnsi="仿宋_GB2312" w:eastAsia="仿宋_GB2312" w:cs="仿宋_GB2312"/>
          <w:color w:val="000000"/>
          <w:kern w:val="0"/>
          <w:sz w:val="32"/>
          <w:szCs w:val="32"/>
          <w:lang w:eastAsia="zh-CN"/>
        </w:rPr>
        <w:t>储存温度应不高于</w:t>
      </w:r>
      <w:r>
        <w:rPr>
          <w:rFonts w:hint="eastAsia" w:ascii="仿宋_GB2312" w:hAnsi="仿宋_GB2312" w:eastAsia="仿宋_GB2312" w:cs="仿宋_GB2312"/>
          <w:color w:val="000000"/>
          <w:kern w:val="0"/>
          <w:sz w:val="32"/>
          <w:szCs w:val="32"/>
          <w:lang w:eastAsia="en-US"/>
        </w:rPr>
        <w:t>5℃，</w:t>
      </w:r>
      <w:r>
        <w:rPr>
          <w:rFonts w:hint="eastAsia" w:ascii="仿宋_GB2312" w:hAnsi="仿宋_GB2312" w:eastAsia="仿宋_GB2312" w:cs="仿宋_GB2312"/>
          <w:color w:val="000000"/>
          <w:kern w:val="0"/>
          <w:sz w:val="32"/>
          <w:szCs w:val="32"/>
          <w:lang w:eastAsia="zh-CN"/>
        </w:rPr>
        <w:t>即食冷冻水果肉（泥）储存温度应不高于</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en-US"/>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en-US"/>
        </w:rPr>
        <w:t>应采取全程冷链运输形式，即食鲜切果蔬冷藏车内温度应不高于5℃，</w:t>
      </w:r>
      <w:r>
        <w:rPr>
          <w:rFonts w:hint="eastAsia" w:ascii="仿宋_GB2312" w:hAnsi="仿宋_GB2312" w:eastAsia="仿宋_GB2312" w:cs="仿宋_GB2312"/>
          <w:color w:val="000000"/>
          <w:kern w:val="0"/>
          <w:sz w:val="32"/>
          <w:szCs w:val="32"/>
          <w:lang w:eastAsia="zh-CN"/>
        </w:rPr>
        <w:t>即食冷冻水果肉（泥）</w:t>
      </w:r>
      <w:r>
        <w:rPr>
          <w:rFonts w:hint="eastAsia" w:ascii="仿宋_GB2312" w:hAnsi="仿宋_GB2312" w:eastAsia="仿宋_GB2312" w:cs="仿宋_GB2312"/>
          <w:color w:val="000000"/>
          <w:kern w:val="0"/>
          <w:sz w:val="32"/>
          <w:szCs w:val="32"/>
          <w:lang w:eastAsia="en-US"/>
        </w:rPr>
        <w:t>冷藏车内温度应不高于</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en-US"/>
        </w:rPr>
        <w:t>℃并有全程记录。运输工具应按照规定检查、清洁、消毒，确保安全卫生，并记录。</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第二十四条</w:t>
      </w:r>
      <w:r>
        <w:rPr>
          <w:rFonts w:hint="eastAsia" w:ascii="仿宋_GB2312" w:hAnsi="仿宋_GB2312" w:eastAsia="仿宋_GB2312" w:cs="仿宋_GB2312"/>
          <w:color w:val="000000"/>
          <w:kern w:val="0"/>
          <w:sz w:val="32"/>
          <w:szCs w:val="32"/>
          <w:lang w:eastAsia="en-US"/>
        </w:rPr>
        <w:t>  不安全食品召回制度及不合格品管理、食品安全自查制度、食品安全事故处置方案等应符合《审查通则》的相关要求。</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第二十五条</w:t>
      </w:r>
      <w:r>
        <w:rPr>
          <w:rFonts w:hint="eastAsia" w:ascii="仿宋_GB2312" w:hAnsi="仿宋_GB2312" w:eastAsia="仿宋_GB2312" w:cs="仿宋_GB2312"/>
          <w:color w:val="000000"/>
          <w:kern w:val="0"/>
          <w:sz w:val="32"/>
          <w:szCs w:val="32"/>
          <w:lang w:eastAsia="en-US"/>
        </w:rPr>
        <w:t>  应建立下列保障食品安全的制度：</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（一）建立食品安全追溯体系，确保对食品从原料采购到食品销售的所有环节都可进行有效追溯。</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（二）建立保质期确认制度，根据使用的食品原料、生产工艺、加工条件、包装形式、储存条件等因素，通过验证和确认，合理确定成品保质期。原则上成品保质期不超过72小时。</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（三）建立产品留样制度。留样应冷藏保存在专门区域，保存期限应超过保质期后48小时。</w:t>
      </w:r>
    </w:p>
    <w:p>
      <w:pPr>
        <w:pageBreakBefore w:val="0"/>
        <w:widowControl/>
        <w:shd w:val="clear" w:color="auto" w:fill="FFFFFF"/>
        <w:kinsoku/>
        <w:overflowPunct/>
        <w:topLinePunct w:val="0"/>
        <w:autoSpaceDE/>
        <w:autoSpaceDN/>
        <w:bidi w:val="0"/>
        <w:spacing w:before="120" w:after="240" w:line="579" w:lineRule="exact"/>
        <w:ind w:firstLine="640"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color w:val="000000"/>
          <w:kern w:val="0"/>
          <w:sz w:val="32"/>
          <w:szCs w:val="32"/>
          <w:lang w:eastAsia="en-US"/>
        </w:rPr>
        <w:t>（四）建立记录和文件管理制度。如实记录从原料采购、加工、检验、贮存、运输、销售各环节信息。对文件进行有效管理，确保各相关场所使用的文件均为有效版本。</w:t>
      </w:r>
    </w:p>
    <w:p>
      <w:pPr>
        <w:pageBreakBefore w:val="0"/>
        <w:widowControl/>
        <w:shd w:val="clear" w:color="auto" w:fill="FFFFFF"/>
        <w:kinsoku/>
        <w:overflowPunct/>
        <w:topLinePunct w:val="0"/>
        <w:autoSpaceDE/>
        <w:autoSpaceDN/>
        <w:bidi w:val="0"/>
        <w:spacing w:before="120" w:after="240" w:line="579" w:lineRule="exact"/>
        <w:jc w:val="left"/>
        <w:textAlignment w:val="auto"/>
        <w:rPr>
          <w:rFonts w:hint="eastAsia" w:ascii="仿宋_GB2312" w:hAnsi="仿宋_GB2312" w:eastAsia="仿宋_GB2312" w:cs="仿宋_GB2312"/>
          <w:color w:val="000000"/>
          <w:kern w:val="0"/>
          <w:sz w:val="32"/>
          <w:szCs w:val="32"/>
          <w:lang w:eastAsia="en-US"/>
        </w:rPr>
      </w:pP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hint="eastAsia" w:ascii="黑体" w:hAnsi="黑体" w:eastAsia="黑体"/>
          <w:b w:val="0"/>
          <w:bCs w:val="0"/>
          <w:color w:val="000000" w:themeColor="text1"/>
          <w:sz w:val="36"/>
          <w:szCs w:val="36"/>
        </w:rPr>
        <w:t>第七章  试制产品检验</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第二十六条</w:t>
      </w:r>
      <w:r>
        <w:rPr>
          <w:rFonts w:hint="eastAsia" w:ascii="仿宋_GB2312" w:hAnsi="仿宋_GB2312" w:eastAsia="仿宋_GB2312" w:cs="仿宋_GB2312"/>
          <w:color w:val="000000"/>
          <w:kern w:val="0"/>
          <w:sz w:val="32"/>
          <w:szCs w:val="32"/>
          <w:lang w:eastAsia="en-US"/>
        </w:rPr>
        <w:t>  企业应按所申报即食果蔬</w:t>
      </w:r>
      <w:r>
        <w:rPr>
          <w:rFonts w:hint="eastAsia" w:ascii="仿宋_GB2312" w:hAnsi="仿宋_GB2312" w:eastAsia="仿宋_GB2312" w:cs="仿宋_GB2312"/>
          <w:color w:val="000000"/>
          <w:kern w:val="0"/>
          <w:sz w:val="32"/>
          <w:szCs w:val="32"/>
          <w:lang w:eastAsia="zh-CN"/>
        </w:rPr>
        <w:t>制</w:t>
      </w:r>
      <w:r>
        <w:rPr>
          <w:rFonts w:hint="eastAsia" w:ascii="仿宋_GB2312" w:hAnsi="仿宋_GB2312" w:eastAsia="仿宋_GB2312" w:cs="仿宋_GB2312"/>
          <w:color w:val="000000"/>
          <w:kern w:val="0"/>
          <w:sz w:val="32"/>
          <w:szCs w:val="32"/>
          <w:lang w:eastAsia="en-US"/>
        </w:rPr>
        <w:t>品食品品种和执行标准，分别从同一规格、同一批次的试制产品中抽取具有代表性的样品进行试制产品检验。</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第二十七条</w:t>
      </w:r>
      <w:r>
        <w:rPr>
          <w:rFonts w:hint="eastAsia" w:ascii="仿宋_GB2312" w:hAnsi="仿宋_GB2312" w:eastAsia="仿宋_GB2312" w:cs="仿宋_GB2312"/>
          <w:color w:val="000000"/>
          <w:kern w:val="0"/>
          <w:sz w:val="32"/>
          <w:szCs w:val="32"/>
          <w:lang w:eastAsia="en-US"/>
        </w:rPr>
        <w:t>  企业应对其提供的检验报告真实性负责；检验项目按产品适用的食品安全国家标准、产品标准、企业标准及国务院卫生行政部门的相关公告要求进行。</w:t>
      </w:r>
    </w:p>
    <w:p>
      <w:pPr>
        <w:pageBreakBefore w:val="0"/>
        <w:widowControl/>
        <w:shd w:val="clear" w:color="auto" w:fill="FFFFFF"/>
        <w:kinsoku/>
        <w:overflowPunct/>
        <w:topLinePunct w:val="0"/>
        <w:autoSpaceDE/>
        <w:autoSpaceDN/>
        <w:bidi w:val="0"/>
        <w:spacing w:before="120" w:after="240" w:line="579" w:lineRule="exact"/>
        <w:jc w:val="left"/>
        <w:textAlignment w:val="auto"/>
        <w:rPr>
          <w:rFonts w:hint="eastAsia" w:ascii="仿宋_GB2312" w:hAnsi="仿宋_GB2312" w:eastAsia="仿宋_GB2312" w:cs="仿宋_GB2312"/>
          <w:color w:val="000000"/>
          <w:kern w:val="0"/>
          <w:sz w:val="32"/>
          <w:szCs w:val="32"/>
          <w:lang w:eastAsia="en-US"/>
        </w:rPr>
      </w:pPr>
    </w:p>
    <w:p>
      <w:pPr>
        <w:pStyle w:val="2"/>
        <w:pageBreakBefore w:val="0"/>
        <w:kinsoku/>
        <w:overflowPunct/>
        <w:topLinePunct w:val="0"/>
        <w:autoSpaceDE/>
        <w:autoSpaceDN/>
        <w:bidi w:val="0"/>
        <w:spacing w:before="120" w:after="240" w:line="579" w:lineRule="exact"/>
        <w:jc w:val="center"/>
        <w:textAlignment w:val="auto"/>
        <w:rPr>
          <w:rFonts w:ascii="黑体" w:hAnsi="黑体" w:eastAsia="黑体"/>
          <w:b w:val="0"/>
          <w:bCs w:val="0"/>
          <w:color w:val="000000" w:themeColor="text1"/>
          <w:sz w:val="36"/>
          <w:szCs w:val="36"/>
        </w:rPr>
      </w:pPr>
      <w:r>
        <w:rPr>
          <w:rFonts w:ascii="黑体" w:hAnsi="黑体" w:eastAsia="黑体"/>
          <w:b w:val="0"/>
          <w:bCs w:val="0"/>
          <w:color w:val="000000" w:themeColor="text1"/>
          <w:sz w:val="36"/>
          <w:szCs w:val="36"/>
        </w:rPr>
        <w:t>第</w:t>
      </w:r>
      <w:r>
        <w:rPr>
          <w:rFonts w:hint="eastAsia" w:ascii="黑体" w:hAnsi="黑体" w:eastAsia="黑体"/>
          <w:b w:val="0"/>
          <w:bCs w:val="0"/>
          <w:color w:val="000000" w:themeColor="text1"/>
          <w:sz w:val="36"/>
          <w:szCs w:val="36"/>
          <w:lang w:eastAsia="zh-CN"/>
        </w:rPr>
        <w:t>八</w:t>
      </w:r>
      <w:r>
        <w:rPr>
          <w:rFonts w:ascii="黑体" w:hAnsi="黑体" w:eastAsia="黑体"/>
          <w:b w:val="0"/>
          <w:bCs w:val="0"/>
          <w:color w:val="000000" w:themeColor="text1"/>
          <w:sz w:val="36"/>
          <w:szCs w:val="36"/>
        </w:rPr>
        <w:t>章 附则</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第二十八条</w:t>
      </w:r>
      <w:r>
        <w:rPr>
          <w:rFonts w:hint="eastAsia" w:ascii="仿宋_GB2312" w:hAnsi="仿宋_GB2312" w:eastAsia="仿宋_GB2312" w:cs="仿宋_GB2312"/>
          <w:color w:val="000000"/>
          <w:kern w:val="0"/>
          <w:sz w:val="32"/>
          <w:szCs w:val="32"/>
          <w:lang w:eastAsia="en-US"/>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本审查方案的归口管理部门为深圳市</w:t>
      </w:r>
      <w:bookmarkStart w:id="1" w:name="br14"/>
      <w:bookmarkEnd w:id="1"/>
      <w:r>
        <w:rPr>
          <w:rFonts w:hint="eastAsia" w:ascii="仿宋_GB2312" w:hAnsi="仿宋_GB2312" w:eastAsia="仿宋_GB2312" w:cs="仿宋_GB2312"/>
          <w:color w:val="000000"/>
          <w:kern w:val="0"/>
          <w:sz w:val="32"/>
          <w:szCs w:val="32"/>
          <w:lang w:eastAsia="en-US"/>
        </w:rPr>
        <w:drawing>
          <wp:anchor distT="0" distB="0" distL="114300" distR="114300" simplePos="0" relativeHeight="251659264" behindDoc="1" locked="1" layoutInCell="1" allowOverlap="1">
            <wp:simplePos x="0" y="0"/>
            <wp:positionH relativeFrom="page">
              <wp:posOffset>-12700</wp:posOffset>
            </wp:positionH>
            <wp:positionV relativeFrom="page">
              <wp:posOffset>-12700</wp:posOffset>
            </wp:positionV>
            <wp:extent cx="38100" cy="3810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38100" cy="38100"/>
                    </a:xfrm>
                    <a:prstGeom prst="rect">
                      <a:avLst/>
                    </a:prstGeom>
                    <a:noFill/>
                    <a:ln w="9525">
                      <a:noFill/>
                      <a:miter lim="800000"/>
                      <a:headEnd/>
                      <a:tailEnd/>
                    </a:ln>
                  </pic:spPr>
                </pic:pic>
              </a:graphicData>
            </a:graphic>
          </wp:anchor>
        </w:drawing>
      </w:r>
      <w:r>
        <w:rPr>
          <w:rFonts w:hint="eastAsia" w:ascii="仿宋_GB2312" w:hAnsi="仿宋_GB2312" w:eastAsia="仿宋_GB2312" w:cs="仿宋_GB2312"/>
          <w:color w:val="000000"/>
          <w:kern w:val="0"/>
          <w:sz w:val="32"/>
          <w:szCs w:val="32"/>
          <w:lang w:eastAsia="en-US"/>
        </w:rPr>
        <w:t>市场监督管理局。本审查方案最终解释权归深圳市</w:t>
      </w:r>
      <w:r>
        <w:rPr>
          <w:rFonts w:hint="eastAsia" w:ascii="仿宋_GB2312" w:hAnsi="仿宋_GB2312" w:eastAsia="仿宋_GB2312" w:cs="仿宋_GB2312"/>
          <w:color w:val="000000"/>
          <w:kern w:val="0"/>
          <w:sz w:val="32"/>
          <w:szCs w:val="32"/>
          <w:lang w:eastAsia="en-US"/>
        </w:rPr>
        <w:drawing>
          <wp:anchor distT="0" distB="0" distL="114300" distR="114300" simplePos="0" relativeHeight="251660288" behindDoc="1" locked="1" layoutInCell="1" allowOverlap="1">
            <wp:simplePos x="0" y="0"/>
            <wp:positionH relativeFrom="page">
              <wp:posOffset>-12700</wp:posOffset>
            </wp:positionH>
            <wp:positionV relativeFrom="page">
              <wp:posOffset>-12700</wp:posOffset>
            </wp:positionV>
            <wp:extent cx="38100" cy="3810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srcRect/>
                    <a:stretch>
                      <a:fillRect/>
                    </a:stretch>
                  </pic:blipFill>
                  <pic:spPr>
                    <a:xfrm>
                      <a:off x="0" y="0"/>
                      <a:ext cx="38100" cy="38100"/>
                    </a:xfrm>
                    <a:prstGeom prst="rect">
                      <a:avLst/>
                    </a:prstGeom>
                    <a:noFill/>
                    <a:ln w="9525">
                      <a:noFill/>
                      <a:miter lim="800000"/>
                      <a:headEnd/>
                      <a:tailEnd/>
                    </a:ln>
                  </pic:spPr>
                </pic:pic>
              </a:graphicData>
            </a:graphic>
          </wp:anchor>
        </w:drawing>
      </w:r>
      <w:r>
        <w:rPr>
          <w:rFonts w:hint="eastAsia" w:ascii="仿宋_GB2312" w:hAnsi="仿宋_GB2312" w:eastAsia="仿宋_GB2312" w:cs="仿宋_GB2312"/>
          <w:color w:val="000000"/>
          <w:kern w:val="0"/>
          <w:sz w:val="32"/>
          <w:szCs w:val="32"/>
          <w:lang w:eastAsia="en-US"/>
        </w:rPr>
        <w:t>市场监督管理局所有。</w:t>
      </w:r>
    </w:p>
    <w:p>
      <w:pPr>
        <w:pageBreakBefore w:val="0"/>
        <w:widowControl/>
        <w:shd w:val="clear" w:color="auto" w:fill="FFFFFF"/>
        <w:kinsoku/>
        <w:overflowPunct/>
        <w:topLinePunct w:val="0"/>
        <w:autoSpaceDE/>
        <w:autoSpaceDN/>
        <w:bidi w:val="0"/>
        <w:spacing w:before="120" w:after="240" w:line="579" w:lineRule="exact"/>
        <w:ind w:firstLine="642" w:firstLineChars="200"/>
        <w:jc w:val="left"/>
        <w:textAlignment w:val="auto"/>
        <w:rPr>
          <w:rFonts w:hint="eastAsia" w:ascii="仿宋_GB2312" w:hAnsi="仿宋_GB2312" w:eastAsia="仿宋_GB2312" w:cs="仿宋_GB2312"/>
          <w:color w:val="000000"/>
          <w:kern w:val="0"/>
          <w:sz w:val="32"/>
          <w:szCs w:val="32"/>
          <w:lang w:eastAsia="en-US"/>
        </w:rPr>
      </w:pPr>
      <w:r>
        <w:rPr>
          <w:rFonts w:hint="eastAsia" w:ascii="仿宋_GB2312" w:hAnsi="仿宋_GB2312" w:eastAsia="仿宋_GB2312" w:cs="仿宋_GB2312"/>
          <w:b/>
          <w:bCs/>
          <w:color w:val="000000"/>
          <w:kern w:val="0"/>
          <w:sz w:val="32"/>
          <w:szCs w:val="32"/>
          <w:lang w:eastAsia="en-US"/>
        </w:rPr>
        <w:t>第</w:t>
      </w:r>
      <w:r>
        <w:rPr>
          <w:rFonts w:hint="eastAsia" w:ascii="仿宋_GB2312" w:hAnsi="仿宋_GB2312" w:eastAsia="仿宋_GB2312" w:cs="仿宋_GB2312"/>
          <w:b/>
          <w:bCs/>
          <w:color w:val="000000"/>
          <w:kern w:val="0"/>
          <w:sz w:val="32"/>
          <w:szCs w:val="32"/>
          <w:lang w:eastAsia="zh-CN"/>
        </w:rPr>
        <w:t>二十九</w:t>
      </w:r>
      <w:r>
        <w:rPr>
          <w:rFonts w:hint="eastAsia" w:ascii="仿宋_GB2312" w:hAnsi="仿宋_GB2312" w:eastAsia="仿宋_GB2312" w:cs="仿宋_GB2312"/>
          <w:b/>
          <w:bCs/>
          <w:color w:val="000000"/>
          <w:kern w:val="0"/>
          <w:sz w:val="32"/>
          <w:szCs w:val="32"/>
          <w:lang w:eastAsia="en-US"/>
        </w:rPr>
        <w:t>条</w:t>
      </w:r>
      <w:r>
        <w:rPr>
          <w:rFonts w:hint="eastAsia" w:ascii="仿宋_GB2312" w:hAnsi="仿宋_GB2312" w:eastAsia="仿宋_GB2312" w:cs="仿宋_GB2312"/>
          <w:color w:val="000000"/>
          <w:kern w:val="0"/>
          <w:sz w:val="32"/>
          <w:szCs w:val="32"/>
          <w:lang w:eastAsia="en-US"/>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本方案仅适用于对即食鲜切果蔬食品生产企业实施生产许可审查工作。如有上级部门出台相应产品生产许可审查方案或细则，本方案自动作废。</w:t>
      </w:r>
    </w:p>
    <w:p>
      <w:pPr>
        <w:pageBreakBefore w:val="0"/>
        <w:widowControl/>
        <w:shd w:val="clear" w:color="auto" w:fill="FFFFFF"/>
        <w:kinsoku/>
        <w:overflowPunct/>
        <w:topLinePunct w:val="0"/>
        <w:autoSpaceDE/>
        <w:autoSpaceDN/>
        <w:bidi w:val="0"/>
        <w:spacing w:before="120" w:after="240" w:line="579" w:lineRule="exact"/>
        <w:jc w:val="left"/>
        <w:textAlignment w:val="auto"/>
        <w:rPr>
          <w:rFonts w:hint="eastAsia" w:ascii="仿宋_GB2312" w:hAnsi="仿宋_GB2312" w:eastAsia="仿宋_GB2312" w:cs="仿宋_GB2312"/>
          <w:color w:val="000000"/>
          <w:kern w:val="0"/>
          <w:sz w:val="32"/>
          <w:szCs w:val="32"/>
          <w:lang w:eastAsia="en-US"/>
        </w:rPr>
      </w:pPr>
    </w:p>
    <w:p>
      <w:pPr>
        <w:keepNext w:val="0"/>
        <w:keepLines w:val="0"/>
        <w:pageBreakBefore w:val="0"/>
        <w:widowControl/>
        <w:shd w:val="clear" w:color="auto" w:fill="FFFFFF"/>
        <w:kinsoku/>
        <w:wordWrap w:val="0"/>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en-US"/>
        </w:rPr>
        <w:t>深圳市市场监督管理局</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en-US"/>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en-US"/>
        </w:rPr>
        <w:t>日</w:t>
      </w:r>
    </w:p>
    <w:p>
      <w:pPr>
        <w:pageBreakBefore w:val="0"/>
        <w:widowControl/>
        <w:shd w:val="clear" w:color="auto" w:fill="FFFFFF"/>
        <w:kinsoku/>
        <w:overflowPunct/>
        <w:topLinePunct w:val="0"/>
        <w:autoSpaceDE/>
        <w:autoSpaceDN/>
        <w:bidi w:val="0"/>
        <w:spacing w:line="579" w:lineRule="exact"/>
        <w:ind w:firstLine="640" w:firstLineChars="200"/>
        <w:jc w:val="left"/>
        <w:textAlignment w:val="auto"/>
        <w:rPr>
          <w:rFonts w:ascii="仿宋" w:hAnsi="仿宋" w:eastAsia="仿宋" w:cs="仿宋"/>
          <w:color w:val="040404"/>
          <w:sz w:val="32"/>
          <w:szCs w:val="32"/>
        </w:rPr>
      </w:pPr>
    </w:p>
    <w:p>
      <w:pPr>
        <w:pageBreakBefore w:val="0"/>
        <w:widowControl/>
        <w:shd w:val="clear" w:color="auto" w:fill="FFFFFF"/>
        <w:kinsoku/>
        <w:overflowPunct/>
        <w:topLinePunct w:val="0"/>
        <w:autoSpaceDE/>
        <w:autoSpaceDN/>
        <w:bidi w:val="0"/>
        <w:spacing w:line="579" w:lineRule="exact"/>
        <w:ind w:firstLine="640" w:firstLineChars="200"/>
        <w:jc w:val="left"/>
        <w:textAlignment w:val="auto"/>
        <w:rPr>
          <w:rFonts w:ascii="仿宋" w:hAnsi="仿宋" w:eastAsia="仿宋" w:cs="仿宋"/>
          <w:color w:val="333333"/>
          <w:kern w:val="0"/>
          <w:sz w:val="32"/>
          <w:szCs w:val="32"/>
        </w:rPr>
      </w:pPr>
    </w:p>
    <w:p>
      <w:pPr>
        <w:pageBreakBefore w:val="0"/>
        <w:kinsoku/>
        <w:overflowPunct/>
        <w:topLinePunct w:val="0"/>
        <w:autoSpaceDE/>
        <w:autoSpaceDN/>
        <w:bidi w:val="0"/>
        <w:spacing w:line="579" w:lineRule="exact"/>
        <w:textAlignment w:val="auto"/>
      </w:pP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jNzQwMTdmY2VlNjlmNmRkZjlhZjk4NzU5MzQ0ZGIifQ=="/>
  </w:docVars>
  <w:rsids>
    <w:rsidRoot w:val="003762F3"/>
    <w:rsid w:val="00106926"/>
    <w:rsid w:val="002D2326"/>
    <w:rsid w:val="0031775A"/>
    <w:rsid w:val="003762F3"/>
    <w:rsid w:val="00452B4D"/>
    <w:rsid w:val="0047686D"/>
    <w:rsid w:val="00603B83"/>
    <w:rsid w:val="007671F9"/>
    <w:rsid w:val="008D1AE6"/>
    <w:rsid w:val="00A82EEA"/>
    <w:rsid w:val="00A84328"/>
    <w:rsid w:val="00B24DD8"/>
    <w:rsid w:val="00B53D7C"/>
    <w:rsid w:val="00B8144A"/>
    <w:rsid w:val="00C24203"/>
    <w:rsid w:val="00E105D8"/>
    <w:rsid w:val="00E14852"/>
    <w:rsid w:val="00F72AFF"/>
    <w:rsid w:val="07E1436B"/>
    <w:rsid w:val="14E75C12"/>
    <w:rsid w:val="1F3D2225"/>
    <w:rsid w:val="213674ED"/>
    <w:rsid w:val="247A3EAB"/>
    <w:rsid w:val="2B7A0637"/>
    <w:rsid w:val="2B9D45A2"/>
    <w:rsid w:val="3A5F1CF0"/>
    <w:rsid w:val="3A8C77AD"/>
    <w:rsid w:val="3AEA7986"/>
    <w:rsid w:val="3C1F286C"/>
    <w:rsid w:val="4A05303E"/>
    <w:rsid w:val="66A1773B"/>
    <w:rsid w:val="6A5453B7"/>
    <w:rsid w:val="6A7B243E"/>
    <w:rsid w:val="6F3F4748"/>
    <w:rsid w:val="70ED4A3E"/>
    <w:rsid w:val="74DF01C6"/>
    <w:rsid w:val="7B798DBC"/>
    <w:rsid w:val="7C660CF7"/>
    <w:rsid w:val="7EBD04C9"/>
    <w:rsid w:val="7FFF2408"/>
    <w:rsid w:val="ACF3E3BB"/>
    <w:rsid w:val="BB772F2E"/>
    <w:rsid w:val="FFFDC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5" w:lineRule="auto"/>
      <w:outlineLvl w:val="1"/>
    </w:pPr>
    <w:rPr>
      <w:rFonts w:ascii="Cambria" w:hAnsi="Cambria" w:cs="宋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semiHidden/>
    <w:qFormat/>
    <w:uiPriority w:val="9"/>
    <w:rPr>
      <w:rFonts w:ascii="Cambria" w:hAnsi="Cambria" w:eastAsia="宋体" w:cs="宋体"/>
      <w:b/>
      <w:bCs/>
      <w:sz w:val="32"/>
      <w:szCs w:val="32"/>
    </w:r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4636</Words>
  <Characters>4791</Characters>
  <Lines>30</Lines>
  <Paragraphs>8</Paragraphs>
  <TotalTime>0</TotalTime>
  <ScaleCrop>false</ScaleCrop>
  <LinksUpToDate>false</LinksUpToDate>
  <CharactersWithSpaces>4869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2023-06-20T23:47:00Z</dcterms:created>
  <dc:creator>詹松坤</dc:creator>
  <cp:lastModifiedBy>肖梦菲</cp:lastModifiedBy>
  <dcterms:modified xsi:type="dcterms:W3CDTF">2025-11-07T10:57:50Z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CE9409E32F3747E5A057725D9893EBD6_12</vt:lpwstr>
  </property>
  <property fmtid="{D5CDD505-2E9C-101B-9397-08002B2CF9AE}" pid="4" name="KSOTemplateDocerSaveRecord">
    <vt:lpwstr>eyJoZGlkIjoiMzU1MTIyMGYwZGM3YmY5OThhYWE2NjkyZjc0NTk5ZTIiLCJ1c2VySWQiOiI2MTA1MDY3MDMifQ==</vt:lpwstr>
  </property>
</Properties>
</file>